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2BD" w:rsidRDefault="005572BD" w:rsidP="005A6DD1">
      <w:pPr>
        <w:pStyle w:val="NormalWeb"/>
        <w:shd w:val="clear" w:color="auto" w:fill="FFFFFF"/>
        <w:spacing w:before="0" w:beforeAutospacing="0" w:after="0" w:afterAutospacing="0" w:line="360" w:lineRule="auto"/>
        <w:jc w:val="center"/>
        <w:rPr>
          <w:b/>
          <w:bCs/>
          <w:color w:val="222222"/>
          <w:sz w:val="28"/>
          <w:szCs w:val="28"/>
          <w:lang w:val="bg-BG"/>
        </w:rPr>
      </w:pPr>
      <w:bookmarkStart w:id="0" w:name="_GoBack"/>
      <w:r w:rsidRPr="005A6DD1">
        <w:rPr>
          <w:b/>
          <w:bCs/>
          <w:color w:val="222222"/>
          <w:sz w:val="28"/>
          <w:szCs w:val="28"/>
          <w:lang w:val="ru-RU"/>
        </w:rPr>
        <w:t>Инструменти на защитата на правата на човека.</w:t>
      </w:r>
      <w:r>
        <w:rPr>
          <w:b/>
          <w:bCs/>
          <w:color w:val="222222"/>
          <w:sz w:val="28"/>
          <w:szCs w:val="28"/>
          <w:lang w:val="bg-BG"/>
        </w:rPr>
        <w:t xml:space="preserve"> </w:t>
      </w:r>
    </w:p>
    <w:p w:rsidR="005572BD" w:rsidRPr="005A6DD1" w:rsidRDefault="005572BD" w:rsidP="005A6DD1">
      <w:pPr>
        <w:pStyle w:val="NormalWeb"/>
        <w:shd w:val="clear" w:color="auto" w:fill="FFFFFF"/>
        <w:spacing w:before="0" w:beforeAutospacing="0" w:after="0" w:afterAutospacing="0" w:line="360" w:lineRule="auto"/>
        <w:jc w:val="center"/>
        <w:rPr>
          <w:color w:val="222222"/>
          <w:lang w:val="ru-RU"/>
        </w:rPr>
      </w:pPr>
      <w:r w:rsidRPr="005A6DD1">
        <w:rPr>
          <w:b/>
          <w:bCs/>
          <w:color w:val="222222"/>
          <w:sz w:val="28"/>
          <w:szCs w:val="28"/>
          <w:lang w:val="ru-RU"/>
        </w:rPr>
        <w:t>Особено значение на Хартата на основните права на ЕС в практиката на българските съдилища</w:t>
      </w:r>
    </w:p>
    <w:bookmarkEnd w:id="0"/>
    <w:p w:rsidR="005572BD" w:rsidRPr="007807CD" w:rsidRDefault="005572BD" w:rsidP="007807CD">
      <w:pPr>
        <w:spacing w:after="0" w:line="360" w:lineRule="auto"/>
        <w:rPr>
          <w:rFonts w:ascii="Times New Roman" w:hAnsi="Times New Roman"/>
          <w:bCs/>
          <w:i/>
          <w:iCs/>
          <w:sz w:val="24"/>
          <w:szCs w:val="24"/>
        </w:rPr>
      </w:pPr>
    </w:p>
    <w:p w:rsidR="005572BD" w:rsidRPr="007807CD" w:rsidRDefault="005572BD" w:rsidP="007807CD">
      <w:pPr>
        <w:spacing w:after="0" w:line="360" w:lineRule="auto"/>
        <w:jc w:val="center"/>
        <w:rPr>
          <w:rFonts w:ascii="Times New Roman" w:hAnsi="Times New Roman"/>
          <w:bCs/>
          <w:i/>
          <w:iCs/>
          <w:sz w:val="24"/>
          <w:szCs w:val="24"/>
        </w:rPr>
      </w:pPr>
      <w:r w:rsidRPr="007807CD">
        <w:rPr>
          <w:rFonts w:ascii="Times New Roman" w:hAnsi="Times New Roman"/>
          <w:bCs/>
          <w:i/>
          <w:iCs/>
          <w:sz w:val="24"/>
          <w:szCs w:val="24"/>
        </w:rPr>
        <w:t>Д-р Савина Михайлова-Големинова</w:t>
      </w:r>
      <w:r w:rsidRPr="007807CD">
        <w:rPr>
          <w:rStyle w:val="FootnoteReference"/>
          <w:rFonts w:ascii="Times New Roman" w:hAnsi="Times New Roman"/>
          <w:bCs/>
          <w:i/>
          <w:iCs/>
          <w:sz w:val="24"/>
          <w:szCs w:val="24"/>
        </w:rPr>
        <w:footnoteReference w:id="1"/>
      </w:r>
      <w:r w:rsidRPr="007807CD">
        <w:rPr>
          <w:rFonts w:ascii="Times New Roman" w:hAnsi="Times New Roman"/>
          <w:bCs/>
          <w:i/>
          <w:iCs/>
          <w:sz w:val="24"/>
          <w:szCs w:val="24"/>
        </w:rPr>
        <w:t>, Екатерина Тархова</w:t>
      </w:r>
      <w:r w:rsidRPr="007807CD">
        <w:rPr>
          <w:rStyle w:val="FootnoteReference"/>
          <w:rFonts w:ascii="Times New Roman" w:hAnsi="Times New Roman"/>
          <w:bCs/>
          <w:i/>
          <w:iCs/>
          <w:sz w:val="24"/>
          <w:szCs w:val="24"/>
        </w:rPr>
        <w:footnoteReference w:id="2"/>
      </w:r>
      <w:r w:rsidRPr="007807CD">
        <w:rPr>
          <w:rFonts w:ascii="Times New Roman" w:hAnsi="Times New Roman"/>
          <w:bCs/>
          <w:i/>
          <w:iCs/>
          <w:sz w:val="24"/>
          <w:szCs w:val="24"/>
        </w:rPr>
        <w:t>, Румяна Михайлова</w:t>
      </w:r>
      <w:r w:rsidRPr="007807CD">
        <w:rPr>
          <w:rStyle w:val="FootnoteReference"/>
          <w:rFonts w:ascii="Times New Roman" w:hAnsi="Times New Roman"/>
          <w:bCs/>
          <w:i/>
          <w:iCs/>
          <w:sz w:val="24"/>
          <w:szCs w:val="24"/>
        </w:rPr>
        <w:footnoteReference w:id="3"/>
      </w:r>
    </w:p>
    <w:p w:rsidR="005572BD" w:rsidRPr="007807CD" w:rsidRDefault="005572BD" w:rsidP="007807CD">
      <w:pPr>
        <w:spacing w:after="0" w:line="360" w:lineRule="auto"/>
        <w:ind w:firstLine="1008"/>
        <w:jc w:val="both"/>
        <w:rPr>
          <w:rFonts w:ascii="Times New Roman" w:hAnsi="Times New Roman"/>
          <w:sz w:val="24"/>
          <w:szCs w:val="24"/>
        </w:rPr>
      </w:pPr>
    </w:p>
    <w:p w:rsidR="005572BD" w:rsidRPr="007807CD" w:rsidRDefault="005572BD" w:rsidP="007807CD">
      <w:pPr>
        <w:spacing w:after="0" w:line="360" w:lineRule="auto"/>
        <w:ind w:firstLine="540"/>
        <w:jc w:val="both"/>
        <w:rPr>
          <w:rFonts w:ascii="Times New Roman" w:hAnsi="Times New Roman"/>
          <w:b/>
          <w:sz w:val="24"/>
          <w:szCs w:val="24"/>
        </w:rPr>
      </w:pPr>
      <w:r w:rsidRPr="007807CD">
        <w:rPr>
          <w:rFonts w:ascii="Times New Roman" w:hAnsi="Times New Roman"/>
          <w:b/>
          <w:sz w:val="24"/>
          <w:szCs w:val="24"/>
        </w:rPr>
        <w:t>Увод</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Различни инструменти са създадени на международно, европейско</w:t>
      </w:r>
      <w:r w:rsidRPr="007807CD">
        <w:rPr>
          <w:rStyle w:val="FootnoteReference"/>
          <w:rFonts w:ascii="Times New Roman" w:hAnsi="Times New Roman"/>
          <w:sz w:val="24"/>
          <w:szCs w:val="24"/>
        </w:rPr>
        <w:footnoteReference w:id="4"/>
      </w:r>
      <w:r w:rsidRPr="007807CD">
        <w:rPr>
          <w:rFonts w:ascii="Times New Roman" w:hAnsi="Times New Roman"/>
          <w:sz w:val="24"/>
          <w:szCs w:val="24"/>
        </w:rPr>
        <w:t xml:space="preserve"> и национално ниво за защита</w:t>
      </w:r>
      <w:r w:rsidRPr="007807CD">
        <w:rPr>
          <w:rStyle w:val="FootnoteReference"/>
          <w:rFonts w:ascii="Times New Roman" w:hAnsi="Times New Roman"/>
          <w:sz w:val="24"/>
          <w:szCs w:val="24"/>
        </w:rPr>
        <w:footnoteReference w:id="5"/>
      </w:r>
      <w:r w:rsidRPr="007807CD">
        <w:rPr>
          <w:rFonts w:ascii="Times New Roman" w:hAnsi="Times New Roman"/>
          <w:sz w:val="24"/>
          <w:szCs w:val="24"/>
        </w:rPr>
        <w:t xml:space="preserve"> на правата на човека (ПЧ). Тази тема е особено актуална днес, с оглед на миграционните процеси, които текат, поставящи нови предизвикателства пред Европейския съюз и правната му система. Отличителните характеристики на правата на човека са тяхната универсалност, неделимост и взаимозависимост. </w:t>
      </w:r>
    </w:p>
    <w:p w:rsidR="005572BD" w:rsidRPr="007807CD" w:rsidRDefault="005572BD" w:rsidP="007807CD">
      <w:pPr>
        <w:spacing w:after="0" w:line="360" w:lineRule="auto"/>
        <w:ind w:firstLine="540"/>
        <w:jc w:val="both"/>
        <w:rPr>
          <w:rFonts w:ascii="Times New Roman" w:hAnsi="Times New Roman"/>
          <w:sz w:val="24"/>
          <w:szCs w:val="24"/>
        </w:rPr>
      </w:pPr>
    </w:p>
    <w:p w:rsidR="005572BD" w:rsidRPr="007807CD" w:rsidRDefault="005572BD" w:rsidP="007807CD">
      <w:pPr>
        <w:spacing w:after="0" w:line="360" w:lineRule="auto"/>
        <w:ind w:firstLine="540"/>
        <w:jc w:val="both"/>
        <w:rPr>
          <w:rFonts w:ascii="Times New Roman" w:hAnsi="Times New Roman"/>
          <w:sz w:val="24"/>
          <w:szCs w:val="24"/>
        </w:rPr>
      </w:pPr>
    </w:p>
    <w:p w:rsidR="005572BD" w:rsidRPr="007807CD" w:rsidRDefault="005572BD" w:rsidP="007807CD">
      <w:pPr>
        <w:pStyle w:val="ListParagraph"/>
        <w:numPr>
          <w:ilvl w:val="0"/>
          <w:numId w:val="11"/>
        </w:numPr>
        <w:spacing w:after="0" w:line="360" w:lineRule="auto"/>
        <w:ind w:left="0" w:firstLine="540"/>
        <w:jc w:val="both"/>
        <w:rPr>
          <w:rFonts w:ascii="Times New Roman" w:hAnsi="Times New Roman"/>
          <w:b/>
          <w:sz w:val="24"/>
          <w:szCs w:val="24"/>
          <w:bdr w:val="none" w:sz="0" w:space="0" w:color="auto" w:frame="1"/>
        </w:rPr>
      </w:pPr>
      <w:r w:rsidRPr="007807CD">
        <w:rPr>
          <w:rFonts w:ascii="Times New Roman" w:hAnsi="Times New Roman"/>
          <w:b/>
          <w:sz w:val="24"/>
          <w:szCs w:val="24"/>
          <w:bdr w:val="none" w:sz="0" w:space="0" w:color="auto" w:frame="1"/>
        </w:rPr>
        <w:t>Международни актове, по които България е страна</w:t>
      </w:r>
    </w:p>
    <w:p w:rsidR="005572BD" w:rsidRPr="007807CD" w:rsidRDefault="005572BD" w:rsidP="007807CD">
      <w:pPr>
        <w:spacing w:after="0" w:line="360" w:lineRule="auto"/>
        <w:ind w:firstLine="540"/>
        <w:jc w:val="both"/>
        <w:rPr>
          <w:rFonts w:ascii="Times New Roman" w:hAnsi="Times New Roman"/>
          <w:bCs/>
          <w:sz w:val="24"/>
          <w:szCs w:val="24"/>
          <w:bdr w:val="none" w:sz="0" w:space="0" w:color="auto" w:frame="1"/>
        </w:rPr>
      </w:pPr>
      <w:r w:rsidRPr="007807CD">
        <w:rPr>
          <w:rFonts w:ascii="Times New Roman" w:hAnsi="Times New Roman"/>
          <w:sz w:val="24"/>
          <w:szCs w:val="24"/>
        </w:rPr>
        <w:t xml:space="preserve">На международно равнище Република България е страна по множество международни актове, съдържащи разпоредби за прилагането и защитата правата на човека. Някои от най-важните са: Всеобщата декларация за правата на човека и приложените към нея Международен пакт за граждански и политически права и Международен пакт за икономически, социални и културни права, Европейската декларация за защита на правата на човека, Хартата на основните права на ЕС, Декларация за правата на инвалидите, Декларация за правата на детето, Конвенция за защита на правата на човека и на човешкото достойнство във връзка с прилагането на постиженията на биологията и медицината, Конвенция за правата на човека и биомедицината, Декларация за правата на умствено изостаналите лица, Гаранция за защита правата на осъдените на смърт, Допълнителен протокол към Конвенцията за правата на човека и биомедицината относно биомедицинските изследвания, </w:t>
      </w:r>
      <w:r w:rsidRPr="007807CD">
        <w:rPr>
          <w:rFonts w:ascii="Times New Roman" w:hAnsi="Times New Roman"/>
          <w:bCs/>
          <w:sz w:val="24"/>
          <w:szCs w:val="24"/>
          <w:bdr w:val="none" w:sz="0" w:space="0" w:color="auto" w:frame="1"/>
        </w:rPr>
        <w:t xml:space="preserve">Конвенция № 156 на Международната организация на труда относно равенството на възможностите и еднаквото отношение към работниците и служителите от двата пола: работници и служители със семейни задължения, Конвенция на ООН за правата на хората с увреждания и много други. </w:t>
      </w:r>
    </w:p>
    <w:p w:rsidR="005572BD" w:rsidRPr="007807CD" w:rsidRDefault="005572BD" w:rsidP="007807CD">
      <w:pPr>
        <w:spacing w:after="0" w:line="360" w:lineRule="auto"/>
        <w:ind w:firstLine="540"/>
        <w:jc w:val="both"/>
        <w:rPr>
          <w:rFonts w:ascii="Times New Roman" w:hAnsi="Times New Roman"/>
          <w:bCs/>
          <w:sz w:val="24"/>
          <w:szCs w:val="24"/>
          <w:bdr w:val="none" w:sz="0" w:space="0" w:color="auto" w:frame="1"/>
        </w:rPr>
      </w:pPr>
    </w:p>
    <w:p w:rsidR="005572BD" w:rsidRPr="007807CD" w:rsidRDefault="005572BD" w:rsidP="007807CD">
      <w:pPr>
        <w:pStyle w:val="ListParagraph"/>
        <w:spacing w:after="0" w:line="360" w:lineRule="auto"/>
        <w:ind w:left="0" w:firstLine="540"/>
        <w:jc w:val="both"/>
        <w:rPr>
          <w:rFonts w:ascii="Times New Roman" w:hAnsi="Times New Roman"/>
          <w:b/>
          <w:sz w:val="24"/>
          <w:szCs w:val="24"/>
          <w:bdr w:val="none" w:sz="0" w:space="0" w:color="auto" w:frame="1"/>
        </w:rPr>
      </w:pPr>
      <w:r w:rsidRPr="007807CD">
        <w:rPr>
          <w:rFonts w:ascii="Times New Roman" w:hAnsi="Times New Roman"/>
          <w:b/>
          <w:sz w:val="24"/>
          <w:szCs w:val="24"/>
          <w:bdr w:val="none" w:sz="0" w:space="0" w:color="auto" w:frame="1"/>
        </w:rPr>
        <w:t>1.1. Актове на Организацията на обединените нации</w:t>
      </w:r>
    </w:p>
    <w:p w:rsidR="005572BD" w:rsidRPr="007807CD" w:rsidRDefault="005572BD" w:rsidP="007807CD">
      <w:pPr>
        <w:pStyle w:val="ListParagraph"/>
        <w:numPr>
          <w:ilvl w:val="0"/>
          <w:numId w:val="9"/>
        </w:numPr>
        <w:spacing w:after="0" w:line="360" w:lineRule="auto"/>
        <w:ind w:left="0" w:firstLine="540"/>
        <w:jc w:val="both"/>
        <w:rPr>
          <w:rFonts w:ascii="Times New Roman" w:hAnsi="Times New Roman"/>
          <w:b/>
          <w:sz w:val="24"/>
          <w:szCs w:val="24"/>
          <w:bdr w:val="none" w:sz="0" w:space="0" w:color="auto" w:frame="1"/>
        </w:rPr>
      </w:pPr>
      <w:r w:rsidRPr="007807CD">
        <w:rPr>
          <w:rFonts w:ascii="Times New Roman" w:hAnsi="Times New Roman"/>
          <w:b/>
          <w:bCs/>
          <w:sz w:val="24"/>
          <w:szCs w:val="24"/>
          <w:bdr w:val="none" w:sz="0" w:space="0" w:color="auto" w:frame="1"/>
        </w:rPr>
        <w:t>Всеобща декларация за правата на човека</w:t>
      </w:r>
      <w:r w:rsidRPr="007807CD">
        <w:rPr>
          <w:rFonts w:ascii="Times New Roman" w:hAnsi="Times New Roman"/>
          <w:b/>
          <w:sz w:val="24"/>
          <w:szCs w:val="24"/>
          <w:bdr w:val="none" w:sz="0" w:space="0" w:color="auto" w:frame="1"/>
        </w:rPr>
        <w:t> </w:t>
      </w:r>
    </w:p>
    <w:p w:rsidR="005572BD" w:rsidRPr="007807CD" w:rsidRDefault="005572BD" w:rsidP="007807CD">
      <w:pPr>
        <w:pStyle w:val="ListParagraph"/>
        <w:spacing w:after="0" w:line="360" w:lineRule="auto"/>
        <w:ind w:left="0" w:firstLine="540"/>
        <w:jc w:val="both"/>
        <w:rPr>
          <w:rFonts w:ascii="Times New Roman" w:hAnsi="Times New Roman"/>
          <w:bCs/>
          <w:sz w:val="24"/>
          <w:szCs w:val="24"/>
          <w:bdr w:val="none" w:sz="0" w:space="0" w:color="auto" w:frame="1"/>
        </w:rPr>
      </w:pPr>
      <w:r w:rsidRPr="007807CD">
        <w:rPr>
          <w:rFonts w:ascii="Times New Roman" w:hAnsi="Times New Roman"/>
          <w:bCs/>
          <w:sz w:val="24"/>
          <w:szCs w:val="24"/>
          <w:bdr w:val="none" w:sz="0" w:space="0" w:color="auto" w:frame="1"/>
        </w:rPr>
        <w:t>Всеобщата декларация за правата на човека (ВДПЧ) е посветена на фундаменталните права и свободи за всички хора. Генералната асамблея на ООН я приема на 10 декември 1948 г. като резултат от опита, извлечен от световната общност след двете наскоро отминали световни войни. За първи път в историята, държавите се обединяват около единно всеобщо признание на неотменните човешки права. По повод 60-та годишнина от приемането на документа, Народното събрание на Република България приема декларация, в която заявява своята категорична подкрепа за този акт, а Всеобщата декларация се посочва и в редица документи на български институции</w:t>
      </w:r>
      <w:r w:rsidRPr="007807CD">
        <w:rPr>
          <w:rStyle w:val="FootnoteReference"/>
          <w:rFonts w:ascii="Times New Roman" w:hAnsi="Times New Roman"/>
          <w:bCs/>
          <w:sz w:val="24"/>
          <w:szCs w:val="24"/>
          <w:bdr w:val="none" w:sz="0" w:space="0" w:color="auto" w:frame="1"/>
        </w:rPr>
        <w:footnoteReference w:id="6"/>
      </w:r>
      <w:r w:rsidRPr="007807CD">
        <w:rPr>
          <w:rFonts w:ascii="Times New Roman" w:hAnsi="Times New Roman"/>
          <w:bCs/>
          <w:sz w:val="24"/>
          <w:szCs w:val="24"/>
          <w:bdr w:val="none" w:sz="0" w:space="0" w:color="auto" w:frame="1"/>
        </w:rPr>
        <w:t>.</w:t>
      </w:r>
    </w:p>
    <w:p w:rsidR="005572BD" w:rsidRPr="007807CD" w:rsidRDefault="005572BD" w:rsidP="007807CD">
      <w:pPr>
        <w:pStyle w:val="ListParagraph"/>
        <w:spacing w:after="0" w:line="360" w:lineRule="auto"/>
        <w:ind w:left="0" w:firstLine="540"/>
        <w:jc w:val="both"/>
        <w:rPr>
          <w:rFonts w:ascii="Times New Roman" w:hAnsi="Times New Roman"/>
          <w:bCs/>
          <w:sz w:val="24"/>
          <w:szCs w:val="24"/>
          <w:bdr w:val="none" w:sz="0" w:space="0" w:color="auto" w:frame="1"/>
        </w:rPr>
      </w:pPr>
      <w:r w:rsidRPr="007807CD">
        <w:rPr>
          <w:rFonts w:ascii="Times New Roman" w:hAnsi="Times New Roman"/>
          <w:bCs/>
          <w:sz w:val="24"/>
          <w:szCs w:val="24"/>
          <w:bdr w:val="none" w:sz="0" w:space="0" w:color="auto" w:frame="1"/>
        </w:rPr>
        <w:t xml:space="preserve">Въпреки че, ВДПЧ не е договор </w:t>
      </w:r>
      <w:r w:rsidRPr="007807CD">
        <w:rPr>
          <w:rFonts w:ascii="Times New Roman" w:hAnsi="Times New Roman"/>
          <w:bCs/>
          <w:i/>
          <w:sz w:val="24"/>
          <w:szCs w:val="24"/>
          <w:bdr w:val="none" w:sz="0" w:space="0" w:color="auto" w:frame="1"/>
        </w:rPr>
        <w:t>strictu sensu</w:t>
      </w:r>
      <w:r w:rsidRPr="007807CD">
        <w:rPr>
          <w:rFonts w:ascii="Times New Roman" w:hAnsi="Times New Roman"/>
          <w:bCs/>
          <w:sz w:val="24"/>
          <w:szCs w:val="24"/>
          <w:bdr w:val="none" w:sz="0" w:space="0" w:color="auto" w:frame="1"/>
        </w:rPr>
        <w:t xml:space="preserve"> и, в този смисъл, не поражда директно правни задължения за държавите, тя е израз на фундаменталните ценности, споделени от всички членове на международната общност, и като такава има значително влияние върху развитието на международното право в областта на правата на човека. В доктрината се изразява мнение, че в резултат на позоваването на декларацията в продължение на повече от 60 години, тя е придобила задължителност като част от обичайното международно право. Освен това, на по-късен етап, от нея произлизат множество международни актове с правнообвързващ характер за държавите, които са ги ратифицирали. </w:t>
      </w:r>
    </w:p>
    <w:p w:rsidR="005572BD" w:rsidRPr="007807CD" w:rsidRDefault="005572BD" w:rsidP="007807CD">
      <w:pPr>
        <w:pStyle w:val="ListParagraph"/>
        <w:spacing w:after="0" w:line="360" w:lineRule="auto"/>
        <w:ind w:left="0" w:firstLine="540"/>
        <w:jc w:val="both"/>
        <w:rPr>
          <w:rFonts w:ascii="Times New Roman" w:hAnsi="Times New Roman"/>
          <w:bCs/>
          <w:sz w:val="24"/>
          <w:szCs w:val="24"/>
          <w:bdr w:val="none" w:sz="0" w:space="0" w:color="auto" w:frame="1"/>
        </w:rPr>
      </w:pPr>
      <w:r w:rsidRPr="007807CD">
        <w:rPr>
          <w:rFonts w:ascii="Times New Roman" w:hAnsi="Times New Roman"/>
          <w:bCs/>
          <w:sz w:val="24"/>
          <w:szCs w:val="24"/>
          <w:bdr w:val="none" w:sz="0" w:space="0" w:color="auto" w:frame="1"/>
        </w:rPr>
        <w:t>Универсалната декларация започва с думите, че „признаването на достойнството, присъщо на всички членове на човешкия род, на техните равни и неотменими права, представлява основа на свободата, справедливостта и мира в света”. По-нататък, се утвърждава, че правата на човека са универсални – те се ползват от всички хора, без значение кои са те или къде живеят.</w:t>
      </w:r>
    </w:p>
    <w:p w:rsidR="005572BD" w:rsidRPr="007807CD" w:rsidRDefault="005572BD" w:rsidP="007807CD">
      <w:pPr>
        <w:pStyle w:val="ListParagraph"/>
        <w:spacing w:after="0" w:line="360" w:lineRule="auto"/>
        <w:ind w:left="0" w:firstLine="540"/>
        <w:jc w:val="both"/>
        <w:rPr>
          <w:rFonts w:ascii="Times New Roman" w:hAnsi="Times New Roman"/>
          <w:sz w:val="24"/>
          <w:szCs w:val="24"/>
          <w:bdr w:val="none" w:sz="0" w:space="0" w:color="auto" w:frame="1"/>
        </w:rPr>
      </w:pPr>
      <w:r w:rsidRPr="007807CD">
        <w:rPr>
          <w:rFonts w:ascii="Times New Roman" w:hAnsi="Times New Roman"/>
          <w:bCs/>
          <w:sz w:val="24"/>
          <w:szCs w:val="24"/>
          <w:bdr w:val="none" w:sz="0" w:space="0" w:color="auto" w:frame="1"/>
        </w:rPr>
        <w:t>Всеобщата декларация включва граждански и политически права, като правото на живот, на свобода, на свобода на словото, на неприкосновеност на личния живот и др. Тя включва също така икономически, социални и културни права, като правото на социално осигуряване, здравеопазване и образование</w:t>
      </w:r>
      <w:r w:rsidRPr="007807CD">
        <w:rPr>
          <w:rFonts w:ascii="Times New Roman" w:hAnsi="Times New Roman"/>
          <w:sz w:val="24"/>
          <w:szCs w:val="24"/>
          <w:bdr w:val="none" w:sz="0" w:space="0" w:color="auto" w:frame="1"/>
        </w:rPr>
        <w:t>.</w:t>
      </w:r>
    </w:p>
    <w:p w:rsidR="005572BD" w:rsidRPr="007807CD" w:rsidRDefault="005572BD" w:rsidP="007807CD">
      <w:pPr>
        <w:pStyle w:val="ListParagraph"/>
        <w:spacing w:after="0" w:line="360" w:lineRule="auto"/>
        <w:ind w:left="0" w:firstLine="540"/>
        <w:jc w:val="both"/>
        <w:rPr>
          <w:rFonts w:ascii="Times New Roman" w:hAnsi="Times New Roman"/>
          <w:sz w:val="24"/>
          <w:szCs w:val="24"/>
          <w:bdr w:val="none" w:sz="0" w:space="0" w:color="auto" w:frame="1"/>
        </w:rPr>
      </w:pPr>
      <w:r w:rsidRPr="007807CD">
        <w:rPr>
          <w:rFonts w:ascii="Times New Roman" w:hAnsi="Times New Roman"/>
          <w:sz w:val="24"/>
          <w:szCs w:val="24"/>
          <w:bdr w:val="none" w:sz="0" w:space="0" w:color="auto" w:frame="1"/>
        </w:rPr>
        <w:t>ВДЧП, Международният пакт за граждански и политически права и Международният пакт за икономически, социални и културни права са ноторно известни в международната общност като Международният закон за правата на човека (</w:t>
      </w:r>
      <w:r w:rsidRPr="007807CD">
        <w:rPr>
          <w:rFonts w:ascii="Times New Roman" w:hAnsi="Times New Roman"/>
          <w:i/>
          <w:sz w:val="24"/>
          <w:szCs w:val="24"/>
          <w:bdr w:val="none" w:sz="0" w:space="0" w:color="auto" w:frame="1"/>
        </w:rPr>
        <w:t>International Bill of Rights</w:t>
      </w:r>
      <w:r w:rsidRPr="007807CD">
        <w:rPr>
          <w:rFonts w:ascii="Times New Roman" w:hAnsi="Times New Roman"/>
          <w:sz w:val="24"/>
          <w:szCs w:val="24"/>
          <w:bdr w:val="none" w:sz="0" w:space="0" w:color="auto" w:frame="1"/>
        </w:rPr>
        <w:t>).</w:t>
      </w:r>
    </w:p>
    <w:p w:rsidR="005572BD" w:rsidRPr="007807CD" w:rsidRDefault="005572BD" w:rsidP="007807CD">
      <w:pPr>
        <w:pStyle w:val="ListParagraph"/>
        <w:numPr>
          <w:ilvl w:val="0"/>
          <w:numId w:val="9"/>
        </w:numPr>
        <w:spacing w:after="0" w:line="360" w:lineRule="auto"/>
        <w:ind w:left="0" w:firstLine="540"/>
        <w:jc w:val="both"/>
        <w:rPr>
          <w:rFonts w:ascii="Times New Roman" w:hAnsi="Times New Roman"/>
          <w:b/>
          <w:sz w:val="24"/>
          <w:szCs w:val="24"/>
          <w:bdr w:val="none" w:sz="0" w:space="0" w:color="auto" w:frame="1"/>
        </w:rPr>
      </w:pPr>
      <w:r w:rsidRPr="007807CD">
        <w:rPr>
          <w:rFonts w:ascii="Times New Roman" w:hAnsi="Times New Roman"/>
          <w:b/>
          <w:bCs/>
          <w:sz w:val="24"/>
          <w:szCs w:val="24"/>
          <w:bdr w:val="none" w:sz="0" w:space="0" w:color="auto" w:frame="1"/>
        </w:rPr>
        <w:t>Международен пакт за граждански и политически права</w:t>
      </w:r>
    </w:p>
    <w:p w:rsidR="005572BD" w:rsidRPr="007807CD" w:rsidRDefault="005572BD" w:rsidP="007807CD">
      <w:pPr>
        <w:pStyle w:val="ListParagraph"/>
        <w:spacing w:after="0" w:line="360" w:lineRule="auto"/>
        <w:ind w:left="0" w:firstLine="540"/>
        <w:jc w:val="both"/>
        <w:rPr>
          <w:rFonts w:ascii="Times New Roman" w:hAnsi="Times New Roman"/>
          <w:bCs/>
          <w:sz w:val="24"/>
          <w:szCs w:val="24"/>
          <w:bdr w:val="none" w:sz="0" w:space="0" w:color="auto" w:frame="1"/>
        </w:rPr>
      </w:pPr>
      <w:r w:rsidRPr="007807CD">
        <w:rPr>
          <w:rFonts w:ascii="Times New Roman" w:hAnsi="Times New Roman"/>
          <w:bCs/>
          <w:sz w:val="24"/>
          <w:szCs w:val="24"/>
          <w:bdr w:val="none" w:sz="0" w:space="0" w:color="auto" w:frame="1"/>
        </w:rPr>
        <w:t xml:space="preserve">Приет от Генералната асамблея на ООН на 19 декември 1966 г. Пактът влиза в сила на 23.03.1976 г. Подписан е от 74 държави и ратифициран от 163 държави по света. Република България го ратифицира с Указ № 1199 на Президиума на Народното събрание от 23.07.1970 г. – ДВ, бр. 60 от 1970 г. </w:t>
      </w:r>
    </w:p>
    <w:p w:rsidR="005572BD" w:rsidRPr="007807CD" w:rsidRDefault="005572BD" w:rsidP="007807CD">
      <w:pPr>
        <w:pStyle w:val="ListParagraph"/>
        <w:spacing w:after="0" w:line="360" w:lineRule="auto"/>
        <w:ind w:left="0" w:firstLine="540"/>
        <w:jc w:val="both"/>
        <w:rPr>
          <w:rFonts w:ascii="Times New Roman" w:hAnsi="Times New Roman"/>
          <w:bCs/>
          <w:sz w:val="24"/>
          <w:szCs w:val="24"/>
          <w:bdr w:val="none" w:sz="0" w:space="0" w:color="auto" w:frame="1"/>
        </w:rPr>
      </w:pPr>
      <w:r w:rsidRPr="007807CD">
        <w:rPr>
          <w:rFonts w:ascii="Times New Roman" w:hAnsi="Times New Roman"/>
          <w:bCs/>
          <w:sz w:val="24"/>
          <w:szCs w:val="24"/>
          <w:bdr w:val="none" w:sz="0" w:space="0" w:color="auto" w:frame="1"/>
        </w:rPr>
        <w:t>Пактът е правно обвързващ. Специално създаденият Комитет по правата на човека наблюдава неговото прилагане.</w:t>
      </w:r>
    </w:p>
    <w:p w:rsidR="005572BD" w:rsidRPr="007807CD" w:rsidRDefault="005572BD" w:rsidP="007807CD">
      <w:pPr>
        <w:pStyle w:val="ListParagraph"/>
        <w:spacing w:after="0" w:line="360" w:lineRule="auto"/>
        <w:ind w:left="0" w:firstLine="540"/>
        <w:jc w:val="both"/>
        <w:rPr>
          <w:rFonts w:ascii="Times New Roman" w:hAnsi="Times New Roman"/>
          <w:bCs/>
          <w:sz w:val="24"/>
          <w:szCs w:val="24"/>
          <w:bdr w:val="none" w:sz="0" w:space="0" w:color="auto" w:frame="1"/>
        </w:rPr>
      </w:pPr>
      <w:r w:rsidRPr="007807CD">
        <w:rPr>
          <w:rFonts w:ascii="Times New Roman" w:hAnsi="Times New Roman"/>
          <w:bCs/>
          <w:sz w:val="24"/>
          <w:szCs w:val="24"/>
          <w:bdr w:val="none" w:sz="0" w:space="0" w:color="auto" w:frame="1"/>
        </w:rPr>
        <w:t xml:space="preserve">Международният пакт за граждански и политически права (МПГПП) признава присъщото достойнство на всеки индивид и цели да насърчава условията в държавите, които да позволят упражняването на гражданските и политическите права. Държавите, които са ратифицирали Пакта, са задължени да защитават и запазват основните човешки права и да предприемат административни, съдебни и законодателни мерки, за да защитят правата, залегнали в договора, и да осигурят ефективно средство за защита. </w:t>
      </w:r>
    </w:p>
    <w:p w:rsidR="005572BD" w:rsidRPr="007807CD" w:rsidRDefault="005572BD" w:rsidP="007807CD">
      <w:pPr>
        <w:pStyle w:val="ListParagraph"/>
        <w:spacing w:after="0" w:line="360" w:lineRule="auto"/>
        <w:ind w:left="0" w:firstLine="540"/>
        <w:jc w:val="both"/>
        <w:rPr>
          <w:rStyle w:val="Strong"/>
          <w:rFonts w:ascii="Times New Roman" w:hAnsi="Times New Roman"/>
          <w:b w:val="0"/>
          <w:bCs/>
          <w:sz w:val="24"/>
          <w:szCs w:val="24"/>
          <w:bdr w:val="none" w:sz="0" w:space="0" w:color="auto" w:frame="1"/>
        </w:rPr>
      </w:pPr>
      <w:r w:rsidRPr="007807CD">
        <w:rPr>
          <w:rStyle w:val="Strong"/>
          <w:rFonts w:ascii="Times New Roman" w:hAnsi="Times New Roman"/>
          <w:b w:val="0"/>
          <w:bCs/>
          <w:sz w:val="24"/>
          <w:szCs w:val="24"/>
          <w:bdr w:val="none" w:sz="0" w:space="0" w:color="auto" w:frame="1"/>
        </w:rPr>
        <w:t xml:space="preserve">Обединяващите теми и ценности на протокола се намират в членове 2 и 3 и се основават на понятието за недискриминация. Член 2 гарантира, че правата, признати в МПГПП, ще бъдат зачитани и достъпни за всички на територията на онези държави, които са ратифицирали Пакта. Член 3 гарантира равното право на мъжете и жените на ползване на всички граждански и политически права, определени в МПГПП. Тези права включват: правото на живот, забрана за изтезания, равенство пред съда и право на справедлив процес, равенство пред закон, правото на свободно събиране, права на малцинствата и др. </w:t>
      </w:r>
    </w:p>
    <w:p w:rsidR="005572BD" w:rsidRPr="007807CD" w:rsidRDefault="005572BD" w:rsidP="007807CD">
      <w:pPr>
        <w:pStyle w:val="ListParagraph"/>
        <w:spacing w:after="0" w:line="360" w:lineRule="auto"/>
        <w:ind w:left="0" w:firstLine="540"/>
        <w:jc w:val="both"/>
        <w:rPr>
          <w:rStyle w:val="Strong"/>
          <w:rFonts w:ascii="Times New Roman" w:hAnsi="Times New Roman"/>
          <w:b w:val="0"/>
          <w:bCs/>
          <w:sz w:val="24"/>
          <w:szCs w:val="24"/>
          <w:bdr w:val="none" w:sz="0" w:space="0" w:color="auto" w:frame="1"/>
        </w:rPr>
      </w:pPr>
      <w:r w:rsidRPr="007807CD">
        <w:rPr>
          <w:rStyle w:val="Strong"/>
          <w:rFonts w:ascii="Times New Roman" w:hAnsi="Times New Roman"/>
          <w:b w:val="0"/>
          <w:bCs/>
          <w:sz w:val="24"/>
          <w:szCs w:val="24"/>
          <w:bdr w:val="none" w:sz="0" w:space="0" w:color="auto" w:frame="1"/>
        </w:rPr>
        <w:t>МПГПП позволява определени обстоятелства за държавите да дерогират своите отговорности по Пакта, например по време на обществени извънредни ситуации, но тази възможност е ограничена и не се отнася до правата по членове 6, 7, 8 (параграфи I и 2), 11, 15, 16 и 18 от договора.</w:t>
      </w:r>
    </w:p>
    <w:p w:rsidR="005572BD" w:rsidRPr="007807CD" w:rsidRDefault="005572BD" w:rsidP="007807CD">
      <w:pPr>
        <w:pStyle w:val="ListParagraph"/>
        <w:spacing w:after="0" w:line="360" w:lineRule="auto"/>
        <w:ind w:left="0" w:firstLine="540"/>
        <w:jc w:val="both"/>
        <w:rPr>
          <w:rStyle w:val="Strong"/>
          <w:rFonts w:ascii="Times New Roman" w:hAnsi="Times New Roman"/>
          <w:b w:val="0"/>
          <w:bCs/>
          <w:sz w:val="24"/>
          <w:szCs w:val="24"/>
          <w:bdr w:val="none" w:sz="0" w:space="0" w:color="auto" w:frame="1"/>
        </w:rPr>
      </w:pPr>
      <w:r w:rsidRPr="007807CD">
        <w:rPr>
          <w:rStyle w:val="Strong"/>
          <w:rFonts w:ascii="Times New Roman" w:hAnsi="Times New Roman"/>
          <w:b w:val="0"/>
          <w:bCs/>
          <w:sz w:val="24"/>
          <w:szCs w:val="24"/>
          <w:bdr w:val="none" w:sz="0" w:space="0" w:color="auto" w:frame="1"/>
        </w:rPr>
        <w:t xml:space="preserve">Към протокола има приложени два незадължителни протокола, съдържащи списък от допълнителни права и разпоредби за защитата им. По-специално, с тях се урежда правото на жертвите на нарушения на правата на човека да бъдат изслушани и забраната за смъртното наказание. </w:t>
      </w:r>
    </w:p>
    <w:p w:rsidR="005572BD" w:rsidRPr="007807CD" w:rsidRDefault="005572BD" w:rsidP="007807CD">
      <w:pPr>
        <w:pStyle w:val="ListParagraph"/>
        <w:spacing w:after="0" w:line="360" w:lineRule="auto"/>
        <w:ind w:left="0" w:firstLine="540"/>
        <w:jc w:val="both"/>
        <w:rPr>
          <w:rStyle w:val="Strong"/>
          <w:rFonts w:ascii="Times New Roman" w:hAnsi="Times New Roman"/>
          <w:b w:val="0"/>
          <w:bCs/>
          <w:sz w:val="24"/>
          <w:szCs w:val="24"/>
          <w:bdr w:val="none" w:sz="0" w:space="0" w:color="auto" w:frame="1"/>
        </w:rPr>
      </w:pPr>
      <w:r w:rsidRPr="007807CD">
        <w:rPr>
          <w:rStyle w:val="Strong"/>
          <w:rFonts w:ascii="Times New Roman" w:hAnsi="Times New Roman"/>
          <w:b w:val="0"/>
          <w:bCs/>
          <w:sz w:val="24"/>
          <w:szCs w:val="24"/>
          <w:bdr w:val="none" w:sz="0" w:space="0" w:color="auto" w:frame="1"/>
        </w:rPr>
        <w:t>Като правнообвързващ нормативен акт, ПГПП предвижда и механизъм за контрол: Комитет за наблюдение на прилагането на пакта от държавите – страни по конвенцията следи за неговото изпълнение и спазване, като държавите участнички са длъжни да му представят периодични доклади относно мерките, използвани за приемане и изпълнение на правата, залегнали в МПГПП.</w:t>
      </w:r>
    </w:p>
    <w:p w:rsidR="005572BD" w:rsidRPr="007807CD" w:rsidRDefault="005572BD" w:rsidP="007807CD">
      <w:pPr>
        <w:spacing w:after="0" w:line="360" w:lineRule="auto"/>
        <w:jc w:val="both"/>
        <w:rPr>
          <w:rStyle w:val="Strong"/>
          <w:rFonts w:ascii="Times New Roman" w:hAnsi="Times New Roman"/>
          <w:b w:val="0"/>
          <w:bCs/>
          <w:sz w:val="24"/>
          <w:szCs w:val="24"/>
          <w:bdr w:val="none" w:sz="0" w:space="0" w:color="auto" w:frame="1"/>
        </w:rPr>
      </w:pPr>
    </w:p>
    <w:p w:rsidR="005572BD" w:rsidRPr="007807CD" w:rsidRDefault="005572BD" w:rsidP="007807CD">
      <w:pPr>
        <w:pStyle w:val="ListParagraph"/>
        <w:numPr>
          <w:ilvl w:val="0"/>
          <w:numId w:val="9"/>
        </w:numPr>
        <w:spacing w:after="0" w:line="360" w:lineRule="auto"/>
        <w:ind w:left="0" w:firstLine="540"/>
        <w:jc w:val="both"/>
        <w:rPr>
          <w:rFonts w:ascii="Times New Roman" w:hAnsi="Times New Roman"/>
          <w:b/>
          <w:sz w:val="24"/>
          <w:szCs w:val="24"/>
          <w:bdr w:val="none" w:sz="0" w:space="0" w:color="auto" w:frame="1"/>
        </w:rPr>
      </w:pPr>
      <w:r w:rsidRPr="007807CD">
        <w:rPr>
          <w:rFonts w:ascii="Times New Roman" w:hAnsi="Times New Roman"/>
          <w:b/>
          <w:bCs/>
          <w:sz w:val="24"/>
          <w:szCs w:val="24"/>
          <w:bdr w:val="none" w:sz="0" w:space="0" w:color="auto" w:frame="1"/>
        </w:rPr>
        <w:t>Международен пакт за икономически, социални и културни права </w:t>
      </w:r>
    </w:p>
    <w:p w:rsidR="005572BD" w:rsidRPr="007807CD" w:rsidRDefault="005572BD" w:rsidP="007807CD">
      <w:pPr>
        <w:spacing w:after="0" w:line="360" w:lineRule="auto"/>
        <w:ind w:firstLine="540"/>
        <w:jc w:val="both"/>
        <w:rPr>
          <w:rFonts w:ascii="Times New Roman" w:hAnsi="Times New Roman"/>
          <w:sz w:val="24"/>
          <w:szCs w:val="24"/>
          <w:bdr w:val="none" w:sz="0" w:space="0" w:color="auto" w:frame="1"/>
        </w:rPr>
      </w:pPr>
      <w:r w:rsidRPr="007807CD">
        <w:rPr>
          <w:rFonts w:ascii="Times New Roman" w:hAnsi="Times New Roman"/>
          <w:sz w:val="24"/>
          <w:szCs w:val="24"/>
          <w:bdr w:val="none" w:sz="0" w:space="0" w:color="auto" w:frame="1"/>
        </w:rPr>
        <w:t>Международният пакт за икономически, социални и културни права (МПИСК) влиза в сила на 3 януари 1976 г. Република България го подписва и ратифицира с Указ № 1199 на Президиума на Народното събрание от 23.07.1970 г. – ДВ, бр. 60 от 1970 г., издаден от Министерството на външните работи, обн., ДВ, бр. 43 от 28.05.1976 г. и в сила от 23.03.1976 г.</w:t>
      </w:r>
    </w:p>
    <w:p w:rsidR="005572BD" w:rsidRPr="007807CD" w:rsidRDefault="005572BD" w:rsidP="007807CD">
      <w:pPr>
        <w:spacing w:after="0" w:line="360" w:lineRule="auto"/>
        <w:ind w:firstLine="540"/>
        <w:jc w:val="both"/>
        <w:rPr>
          <w:rFonts w:ascii="Times New Roman" w:hAnsi="Times New Roman"/>
          <w:sz w:val="24"/>
          <w:szCs w:val="24"/>
          <w:bdr w:val="none" w:sz="0" w:space="0" w:color="auto" w:frame="1"/>
        </w:rPr>
      </w:pPr>
      <w:r w:rsidRPr="007807CD">
        <w:rPr>
          <w:rFonts w:ascii="Times New Roman" w:hAnsi="Times New Roman"/>
          <w:sz w:val="24"/>
          <w:szCs w:val="24"/>
          <w:bdr w:val="none" w:sz="0" w:space="0" w:color="auto" w:frame="1"/>
        </w:rPr>
        <w:t>Съдържанието на пакта включва повече икономически, социални и културни права в сравнение с Всеобщата декларация за правата на човека. В пакта са описани мерките, които трябва да бъдат взети за осъществяване на правото на труд, правото на справедливи и благоприятни условия на труд, правото да бъдат образувани професионални съюзи и всяко лице да членува в профсъюз по свой избор, правото на социална сигурност и социално осигуряване, правото на защита на семейството, правото на задоволително жизнено равнище, правото на възможно най-добро състояние на физическо и душевно здраве, правото на образование и на участие в културния живот.</w:t>
      </w:r>
    </w:p>
    <w:p w:rsidR="005572BD" w:rsidRPr="007807CD" w:rsidRDefault="005572BD" w:rsidP="007807CD">
      <w:pPr>
        <w:spacing w:after="0" w:line="360" w:lineRule="auto"/>
        <w:ind w:firstLine="540"/>
        <w:jc w:val="both"/>
        <w:rPr>
          <w:rFonts w:ascii="Times New Roman" w:hAnsi="Times New Roman"/>
          <w:sz w:val="24"/>
          <w:szCs w:val="24"/>
          <w:bdr w:val="none" w:sz="0" w:space="0" w:color="auto" w:frame="1"/>
        </w:rPr>
      </w:pPr>
      <w:r w:rsidRPr="007807CD">
        <w:rPr>
          <w:rFonts w:ascii="Times New Roman" w:hAnsi="Times New Roman"/>
          <w:sz w:val="24"/>
          <w:szCs w:val="24"/>
          <w:bdr w:val="none" w:sz="0" w:space="0" w:color="auto" w:frame="1"/>
        </w:rPr>
        <w:t xml:space="preserve">Комитетът по икономически, социални и културни права наблюдава ангажираността на държавите страни по МПИСК. Те трябва да му представят периодични доклади за предприетите от тях стъпки за осъществяване на правата по пакта, а част от работата на Комитета при разглеждането на тези доклади, е да се увери, че държавите бележат прогрес в прилагането и защитата на икономическите, социалните и културни права. </w:t>
      </w:r>
    </w:p>
    <w:p w:rsidR="005572BD" w:rsidRPr="007807CD" w:rsidRDefault="005572BD" w:rsidP="007807CD">
      <w:pPr>
        <w:pStyle w:val="ListParagraph"/>
        <w:numPr>
          <w:ilvl w:val="0"/>
          <w:numId w:val="9"/>
        </w:numPr>
        <w:spacing w:after="0" w:line="360" w:lineRule="auto"/>
        <w:ind w:left="0" w:firstLine="540"/>
        <w:jc w:val="both"/>
        <w:rPr>
          <w:rFonts w:ascii="Times New Roman" w:hAnsi="Times New Roman"/>
          <w:sz w:val="24"/>
          <w:szCs w:val="24"/>
          <w:bdr w:val="none" w:sz="0" w:space="0" w:color="auto" w:frame="1"/>
        </w:rPr>
      </w:pPr>
      <w:r w:rsidRPr="007807CD">
        <w:rPr>
          <w:rFonts w:ascii="Times New Roman" w:hAnsi="Times New Roman"/>
          <w:b/>
          <w:bCs/>
          <w:sz w:val="24"/>
          <w:szCs w:val="24"/>
          <w:bdr w:val="none" w:sz="0" w:space="0" w:color="auto" w:frame="1"/>
        </w:rPr>
        <w:t>Конвенцията за правата на детето</w:t>
      </w:r>
    </w:p>
    <w:p w:rsidR="005572BD" w:rsidRPr="007807CD" w:rsidRDefault="005572BD" w:rsidP="007807CD">
      <w:pPr>
        <w:spacing w:after="0" w:line="360" w:lineRule="auto"/>
        <w:ind w:firstLine="540"/>
        <w:jc w:val="both"/>
        <w:rPr>
          <w:rFonts w:ascii="Times New Roman" w:hAnsi="Times New Roman"/>
          <w:sz w:val="24"/>
          <w:szCs w:val="24"/>
          <w:bdr w:val="none" w:sz="0" w:space="0" w:color="auto" w:frame="1"/>
        </w:rPr>
      </w:pPr>
      <w:r w:rsidRPr="007807CD">
        <w:rPr>
          <w:rFonts w:ascii="Times New Roman" w:hAnsi="Times New Roman"/>
          <w:sz w:val="24"/>
          <w:szCs w:val="24"/>
          <w:bdr w:val="none" w:sz="0" w:space="0" w:color="auto" w:frame="1"/>
        </w:rPr>
        <w:t>Приета от Общото събрание на ОООН на 20.11.1989 г., подписана и ратифицирана от Република България</w:t>
      </w:r>
      <w:r w:rsidRPr="007807CD">
        <w:rPr>
          <w:rFonts w:ascii="Times New Roman" w:hAnsi="Times New Roman"/>
          <w:b/>
          <w:sz w:val="24"/>
          <w:szCs w:val="24"/>
          <w:bdr w:val="none" w:sz="0" w:space="0" w:color="auto" w:frame="1"/>
        </w:rPr>
        <w:t xml:space="preserve"> и </w:t>
      </w:r>
      <w:r w:rsidRPr="007807CD">
        <w:rPr>
          <w:rFonts w:ascii="Times New Roman" w:hAnsi="Times New Roman"/>
          <w:sz w:val="24"/>
          <w:szCs w:val="24"/>
          <w:bdr w:val="none" w:sz="0" w:space="0" w:color="auto" w:frame="1"/>
        </w:rPr>
        <w:t>в сила за страната ни от 03.06.1991 г.</w:t>
      </w:r>
      <w:r w:rsidRPr="007807CD">
        <w:rPr>
          <w:rFonts w:ascii="Times New Roman" w:hAnsi="Times New Roman"/>
          <w:sz w:val="24"/>
          <w:szCs w:val="24"/>
        </w:rPr>
        <w:t xml:space="preserve"> </w:t>
      </w:r>
      <w:r w:rsidRPr="007807CD">
        <w:rPr>
          <w:rFonts w:ascii="Times New Roman" w:hAnsi="Times New Roman"/>
          <w:sz w:val="24"/>
          <w:szCs w:val="24"/>
          <w:bdr w:val="none" w:sz="0" w:space="0" w:color="auto" w:frame="1"/>
        </w:rPr>
        <w:t xml:space="preserve">Тази конвенция е най-ратифицираният в света международен инструмент, отнасящ се до човешките права. Основополагащата идея на конвенцията е, че децата не са просто субекти, които принадлежат на техните родители, които вземат решения вместо тях, нито проекто-възрастни. Те са човешки същества и индивиди със собствени права. Конвенцията определя, че детството е различно от периода на възрастен човек и продължава до 18 год. В този период от време, децата трябва да имат възможност да растат, да учат, да играят, да се развиват. </w:t>
      </w:r>
    </w:p>
    <w:p w:rsidR="005572BD" w:rsidRPr="007807CD" w:rsidRDefault="005572BD" w:rsidP="007807CD">
      <w:pPr>
        <w:spacing w:after="0" w:line="360" w:lineRule="auto"/>
        <w:ind w:firstLine="540"/>
        <w:jc w:val="both"/>
        <w:rPr>
          <w:rFonts w:ascii="Times New Roman" w:hAnsi="Times New Roman"/>
          <w:bCs/>
          <w:sz w:val="24"/>
          <w:szCs w:val="24"/>
          <w:bdr w:val="none" w:sz="0" w:space="0" w:color="auto" w:frame="1"/>
        </w:rPr>
      </w:pPr>
      <w:r w:rsidRPr="007807CD">
        <w:rPr>
          <w:rFonts w:ascii="Times New Roman" w:hAnsi="Times New Roman"/>
          <w:bCs/>
          <w:sz w:val="24"/>
          <w:szCs w:val="24"/>
          <w:bdr w:val="none" w:sz="0" w:space="0" w:color="auto" w:frame="1"/>
        </w:rPr>
        <w:t xml:space="preserve">Към настоящия момент, този международен акт не е напълно въведен в правния мир на държавите по света, не е достатъчно широко известен и разбран, докато милиони деца продължават да страдат от неспазване на основните им нужди от изхранване, обучение, защита срещу насилие и др. </w:t>
      </w:r>
    </w:p>
    <w:p w:rsidR="005572BD" w:rsidRPr="007807CD" w:rsidRDefault="005572BD" w:rsidP="007807CD">
      <w:pPr>
        <w:pStyle w:val="ListParagraph"/>
        <w:numPr>
          <w:ilvl w:val="0"/>
          <w:numId w:val="9"/>
        </w:numPr>
        <w:spacing w:after="0" w:line="360" w:lineRule="auto"/>
        <w:ind w:left="0" w:firstLine="540"/>
        <w:jc w:val="both"/>
        <w:rPr>
          <w:rFonts w:ascii="Times New Roman" w:hAnsi="Times New Roman"/>
          <w:b/>
          <w:sz w:val="24"/>
          <w:szCs w:val="24"/>
          <w:bdr w:val="none" w:sz="0" w:space="0" w:color="auto" w:frame="1"/>
        </w:rPr>
      </w:pPr>
      <w:r w:rsidRPr="007807CD">
        <w:rPr>
          <w:rFonts w:ascii="Times New Roman" w:hAnsi="Times New Roman"/>
          <w:b/>
          <w:bCs/>
          <w:sz w:val="24"/>
          <w:szCs w:val="24"/>
          <w:bdr w:val="none" w:sz="0" w:space="0" w:color="auto" w:frame="1"/>
        </w:rPr>
        <w:t>Конвенция № 156 на Международната организация на труда относно равенството на възможностите и еднаквото отношение към работниците и служителите от двата пола: работници и служители със семейни задължения</w:t>
      </w:r>
      <w:r w:rsidRPr="007807CD">
        <w:rPr>
          <w:rFonts w:ascii="Times New Roman" w:hAnsi="Times New Roman"/>
          <w:b/>
          <w:sz w:val="24"/>
          <w:szCs w:val="24"/>
          <w:bdr w:val="none" w:sz="0" w:space="0" w:color="auto" w:frame="1"/>
        </w:rPr>
        <w:t>, в сила за България от 03.04.2007 г.</w:t>
      </w:r>
    </w:p>
    <w:p w:rsidR="005572BD" w:rsidRPr="007807CD" w:rsidRDefault="005572BD" w:rsidP="007807CD">
      <w:pPr>
        <w:pStyle w:val="ListParagraph"/>
        <w:spacing w:after="0" w:line="360" w:lineRule="auto"/>
        <w:ind w:left="0" w:firstLine="540"/>
        <w:jc w:val="both"/>
        <w:rPr>
          <w:rFonts w:ascii="Times New Roman" w:hAnsi="Times New Roman"/>
          <w:sz w:val="24"/>
          <w:szCs w:val="24"/>
          <w:highlight w:val="red"/>
        </w:rPr>
      </w:pPr>
      <w:r w:rsidRPr="007807CD">
        <w:rPr>
          <w:rFonts w:ascii="Times New Roman" w:hAnsi="Times New Roman"/>
          <w:sz w:val="24"/>
          <w:szCs w:val="24"/>
        </w:rPr>
        <w:t>В резултат на нормотворческата дейност на Международната организация на труда, тази конвенция установява задължение за държавите да приемат като цел на своята национална политика създаването на възможности за лицата със семейни задължения, които работят или желаят да започнат работа, да упражняват своето право, без да са обект на дискриминация и доколкото е възможно без да възникне противоречие между работата и семейните им задължения.</w:t>
      </w:r>
    </w:p>
    <w:p w:rsidR="005572BD" w:rsidRPr="007807CD" w:rsidRDefault="005572BD" w:rsidP="007807CD">
      <w:pPr>
        <w:pStyle w:val="ListParagraph"/>
        <w:numPr>
          <w:ilvl w:val="0"/>
          <w:numId w:val="9"/>
        </w:numPr>
        <w:spacing w:after="0" w:line="360" w:lineRule="auto"/>
        <w:ind w:left="0" w:firstLine="540"/>
        <w:jc w:val="both"/>
        <w:rPr>
          <w:rFonts w:ascii="Times New Roman" w:hAnsi="Times New Roman"/>
          <w:b/>
          <w:sz w:val="24"/>
          <w:szCs w:val="24"/>
          <w:bdr w:val="none" w:sz="0" w:space="0" w:color="auto" w:frame="1"/>
        </w:rPr>
      </w:pPr>
      <w:r w:rsidRPr="007807CD">
        <w:rPr>
          <w:rFonts w:ascii="Times New Roman" w:hAnsi="Times New Roman"/>
          <w:b/>
          <w:bCs/>
          <w:sz w:val="24"/>
          <w:szCs w:val="24"/>
          <w:bdr w:val="none" w:sz="0" w:space="0" w:color="auto" w:frame="1"/>
        </w:rPr>
        <w:t>Конвенция на ООН за правата на хората с увреждания</w:t>
      </w:r>
      <w:r w:rsidRPr="007807CD">
        <w:rPr>
          <w:rFonts w:ascii="Times New Roman" w:hAnsi="Times New Roman"/>
          <w:b/>
          <w:sz w:val="24"/>
          <w:szCs w:val="24"/>
          <w:bdr w:val="none" w:sz="0" w:space="0" w:color="auto" w:frame="1"/>
        </w:rPr>
        <w:t xml:space="preserve">, приета от Общото събрание на ООН на 13.12.2006 г., в сила от 03.05.2008 г.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Конвенцията е ратифицирана от Европейския парламент в края на 2012 година, а България е страна по нея от 26 януари 2012 г. Целта на Конвенцията е преди всичко да насърчава, защитава и гарантира пълноценното и равноправно упражняване на всички човешки права и основни свободи от страна на всички хора с увреждане и да подпомага за зачитането на човешкото им достойнство.</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Хора с увреждания са лица с трайна физическа, психическа, интелектуална и сетивна недостатъчност, която, при взаимодействие с различни пречки, би могла да възпрепятства тяхното пълноценно и ефективно участие в обществото, равноправно с останалите.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Конвенцията цели промяна в нагласите и подходите спрямо лицата с увреждания. Те не се разглеждат като “обект” на благотворителност, лечение и социална закрила, а като субекти с права, които са способни да предявяват тези права и да вземат решения за живота си, въз основа на своето свободно и осъзнато съгласие, както и да бъдат активни членове на обществото. Конвенцията дава всеобщо признание на достойнството на хората с увреждания.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Конвенцията е оформена на базата на основни принципи и съответно кореспондиращите им права и задължения.</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Основен принцип, според Конвенцията, е пълноценното и ефективно участие и включване в обществото на хората с увреждания. Същевременно осигуряването на това включване е и сред най-важните задължения за държавите, страни по Конвенцията. Те са длъжни да предприемат всички законодателни, административни и други мерки, за да стане възможно прилагането на гарантираните права от Конвенцията (като например участие в политическия и културния живот, почивка, спорт и други).</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Друг фундаментален принцип в сферата на човешките права, действащ с пълна сила и тук, е забраната за дискриминация (пряка и непряка). За осъществяването на този принцип на практика важни са разумните улеснения, направени в полза на лицата с увреждания. Разумни улеснения са всякакви необходими и подходящи модификации и приспособления, необременяващи излишно или непропорционално околните, когато такива са необходими за всеки конкретен случай, за да се осигури на даден индивид с увреждания пълноценно и равнопоставено с околните възползване от и упражняване на всички негови човешки права и основни свободи.</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Основно място в конвенцията е определено и за принципа на достъпност. Той е средство за прилагане на всички останали принципи, залегнали в Конвенцията. На хората с увреждания трябва да бъде предоставен равен достъп до правосъдие, образование, здравеопазване, рехабилитация, самостоятелен живот и включване в общността, свобода на изразяване и на мнение, свобода на достъпа до информация, работа и заетост, подходящ жизнен стандарт и социална закрила, участие в политическия и обществен живот, участие в културния живот, спорт, почивка и свободно време.</w:t>
      </w:r>
    </w:p>
    <w:p w:rsidR="005572BD" w:rsidRPr="007807CD" w:rsidRDefault="005572BD" w:rsidP="007807CD">
      <w:pPr>
        <w:spacing w:after="0" w:line="360" w:lineRule="auto"/>
        <w:ind w:firstLine="540"/>
        <w:jc w:val="both"/>
        <w:rPr>
          <w:rFonts w:ascii="Times New Roman" w:hAnsi="Times New Roman"/>
          <w:sz w:val="24"/>
          <w:szCs w:val="24"/>
        </w:rPr>
      </w:pP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Всички тези принципи, права и задължения действат наред с останалите установени човешки права и основни свободи, залегнали в редица международни споразумения и национални законодателства.</w:t>
      </w:r>
    </w:p>
    <w:p w:rsidR="005572BD" w:rsidRPr="007807CD" w:rsidRDefault="005572BD" w:rsidP="007807CD">
      <w:pPr>
        <w:spacing w:after="0" w:line="360" w:lineRule="auto"/>
        <w:ind w:firstLine="540"/>
        <w:jc w:val="both"/>
        <w:rPr>
          <w:rFonts w:ascii="Times New Roman" w:hAnsi="Times New Roman"/>
          <w:sz w:val="24"/>
          <w:szCs w:val="24"/>
        </w:rPr>
      </w:pPr>
    </w:p>
    <w:p w:rsidR="005572BD" w:rsidRPr="007807CD" w:rsidRDefault="005572BD" w:rsidP="007807CD">
      <w:pPr>
        <w:spacing w:after="0" w:line="360" w:lineRule="auto"/>
        <w:ind w:firstLine="540"/>
        <w:jc w:val="both"/>
        <w:rPr>
          <w:rFonts w:ascii="Times New Roman" w:hAnsi="Times New Roman"/>
          <w:color w:val="000000"/>
          <w:sz w:val="24"/>
          <w:szCs w:val="24"/>
        </w:rPr>
      </w:pPr>
      <w:r w:rsidRPr="007807CD">
        <w:rPr>
          <w:rFonts w:ascii="Times New Roman" w:hAnsi="Times New Roman"/>
          <w:b/>
          <w:bCs/>
          <w:color w:val="000000"/>
          <w:sz w:val="24"/>
          <w:szCs w:val="24"/>
        </w:rPr>
        <w:t>1.2. Конвенция за защита на основните права на човека и основните свободи</w:t>
      </w:r>
      <w:r w:rsidRPr="007807CD">
        <w:rPr>
          <w:rStyle w:val="FootnoteReference"/>
          <w:rFonts w:ascii="Times New Roman" w:hAnsi="Times New Roman"/>
          <w:b/>
          <w:bCs/>
          <w:color w:val="000000"/>
          <w:sz w:val="24"/>
          <w:szCs w:val="24"/>
        </w:rPr>
        <w:footnoteReference w:id="7"/>
      </w:r>
      <w:r w:rsidRPr="007807CD">
        <w:rPr>
          <w:rFonts w:ascii="Times New Roman" w:hAnsi="Times New Roman"/>
          <w:color w:val="000000"/>
          <w:sz w:val="24"/>
          <w:szCs w:val="24"/>
        </w:rPr>
        <w:t xml:space="preserve">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Европейската конвенция за защита на правата на човека и основите свободи (ЕКЗПЧОС) е международен договор за правата на човека между 47-те държави, които са членове на Съвета на Европа. Правителствата, подписали ЕКЗПЧОС, са поели правно задължение да спазват определени стандарти на поведение и да защитават основните права и свободи на обикновените хора. Това е договор за защита на върховенството на закона и насърчаване на демокрацията в европейските страни.</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Конвенцията е официално изготвена от Съвета на Европа в Страсбург през лятото на 1949 г. Над 100 членове на парламентите от цяла Европа се събират, за да изготвят Хартата. ЕКЗПЧОС предвижда: задължение за зачитане на правата на човека (Член 1), право на живот (Член 2), забрана за изтезания и жестоко, нечовешко и унизително отношение (Член 3), забрана на робството и принудителния труд (Член 4), правото на свобода и сигурност (Член 5), правото на справедлив процес (Член 6), забрана за наказание без законно основание (Член 7) и др. Конвенцията съдържа и списък на протоколите към нея, които внасят изменения в първоначалните разпоредби. Те се отнасят до правото на собственост, образование, свободни избори и много други въпроси.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Създаването на ЕКЗПЧОС води до създаването на Европейския съд по правата на човека (ЕСПЧ) през 1959 г. Съдът е установен в гр. Страсбург, Франция има за мисия да следи за спазването на ЕКЗПЧОС, като предоставя форум на гражданите, които смятат, че правата им са били нарушени и им позволява да бъдат изслушвани. </w:t>
      </w:r>
    </w:p>
    <w:p w:rsidR="005572BD" w:rsidRPr="007807CD" w:rsidRDefault="005572BD" w:rsidP="007807CD">
      <w:pPr>
        <w:spacing w:after="0" w:line="360" w:lineRule="auto"/>
        <w:ind w:firstLine="540"/>
        <w:jc w:val="both"/>
        <w:rPr>
          <w:rFonts w:ascii="Times New Roman" w:hAnsi="Times New Roman"/>
          <w:sz w:val="24"/>
          <w:szCs w:val="24"/>
        </w:rPr>
      </w:pPr>
    </w:p>
    <w:p w:rsidR="005572BD" w:rsidRPr="007807CD" w:rsidRDefault="005572BD" w:rsidP="007807CD">
      <w:pPr>
        <w:spacing w:after="0" w:line="360" w:lineRule="auto"/>
        <w:ind w:firstLine="540"/>
        <w:jc w:val="both"/>
        <w:rPr>
          <w:rFonts w:ascii="Times New Roman" w:hAnsi="Times New Roman"/>
          <w:sz w:val="24"/>
          <w:szCs w:val="24"/>
        </w:rPr>
      </w:pPr>
    </w:p>
    <w:p w:rsidR="005572BD" w:rsidRPr="007807CD" w:rsidRDefault="005572BD" w:rsidP="007807CD">
      <w:pPr>
        <w:spacing w:after="0" w:line="360" w:lineRule="auto"/>
        <w:ind w:firstLine="540"/>
        <w:jc w:val="both"/>
        <w:rPr>
          <w:rFonts w:ascii="Times New Roman" w:hAnsi="Times New Roman"/>
          <w:b/>
          <w:sz w:val="24"/>
          <w:szCs w:val="24"/>
        </w:rPr>
      </w:pPr>
      <w:r w:rsidRPr="007807CD">
        <w:rPr>
          <w:rFonts w:ascii="Times New Roman" w:hAnsi="Times New Roman"/>
          <w:b/>
          <w:sz w:val="24"/>
          <w:szCs w:val="24"/>
        </w:rPr>
        <w:t>2.Тенденции</w:t>
      </w:r>
    </w:p>
    <w:p w:rsidR="005572BD" w:rsidRPr="007807CD" w:rsidRDefault="005572BD" w:rsidP="007807CD">
      <w:pPr>
        <w:spacing w:after="0" w:line="360" w:lineRule="auto"/>
        <w:ind w:firstLine="540"/>
        <w:jc w:val="both"/>
        <w:rPr>
          <w:rFonts w:ascii="Times New Roman" w:hAnsi="Times New Roman"/>
          <w:b/>
          <w:sz w:val="24"/>
          <w:szCs w:val="24"/>
        </w:rPr>
      </w:pPr>
      <w:r w:rsidRPr="007807CD">
        <w:rPr>
          <w:rFonts w:ascii="Times New Roman" w:hAnsi="Times New Roman"/>
          <w:b/>
          <w:sz w:val="24"/>
          <w:szCs w:val="24"/>
        </w:rPr>
        <w:t>2.1. Понастоящем се очертават следните тенденции в областта на защитата на ПЧ:</w:t>
      </w:r>
    </w:p>
    <w:p w:rsidR="005572BD" w:rsidRPr="007807CD" w:rsidRDefault="005572BD" w:rsidP="007807CD">
      <w:pPr>
        <w:pStyle w:val="ListParagraph"/>
        <w:numPr>
          <w:ilvl w:val="0"/>
          <w:numId w:val="2"/>
        </w:numPr>
        <w:spacing w:after="0" w:line="360" w:lineRule="auto"/>
        <w:ind w:left="0" w:firstLine="540"/>
        <w:jc w:val="both"/>
        <w:rPr>
          <w:rFonts w:ascii="Times New Roman" w:hAnsi="Times New Roman"/>
          <w:sz w:val="24"/>
          <w:szCs w:val="24"/>
        </w:rPr>
      </w:pPr>
      <w:r w:rsidRPr="007807CD">
        <w:rPr>
          <w:rFonts w:ascii="Times New Roman" w:hAnsi="Times New Roman"/>
          <w:sz w:val="24"/>
          <w:szCs w:val="24"/>
        </w:rPr>
        <w:t>Разширяване в международен план на източниците на защита на ПЧ, като те започват да бъдат все по-правно обвързващи;</w:t>
      </w:r>
    </w:p>
    <w:p w:rsidR="005572BD" w:rsidRPr="007807CD" w:rsidRDefault="005572BD" w:rsidP="007807CD">
      <w:pPr>
        <w:pStyle w:val="ListParagraph"/>
        <w:numPr>
          <w:ilvl w:val="0"/>
          <w:numId w:val="2"/>
        </w:numPr>
        <w:spacing w:after="0" w:line="360" w:lineRule="auto"/>
        <w:ind w:left="0" w:firstLine="540"/>
        <w:jc w:val="both"/>
        <w:rPr>
          <w:rFonts w:ascii="Times New Roman" w:hAnsi="Times New Roman"/>
          <w:sz w:val="24"/>
          <w:szCs w:val="24"/>
        </w:rPr>
      </w:pPr>
      <w:r w:rsidRPr="007807CD">
        <w:rPr>
          <w:rFonts w:ascii="Times New Roman" w:hAnsi="Times New Roman"/>
          <w:sz w:val="24"/>
          <w:szCs w:val="24"/>
        </w:rPr>
        <w:t>Нарастваща регионализация: създават се паралелни регионални системи за защита на правата на човека, които претендират да са продължение на международната защита. Появяват се въпроси относно това как те реагират помежду си, напр. Интер-американската декларация за защита на ПЧ от 1948 г.;</w:t>
      </w:r>
    </w:p>
    <w:p w:rsidR="005572BD" w:rsidRPr="007807CD" w:rsidRDefault="005572BD" w:rsidP="007807CD">
      <w:pPr>
        <w:pStyle w:val="ListParagraph"/>
        <w:numPr>
          <w:ilvl w:val="0"/>
          <w:numId w:val="2"/>
        </w:numPr>
        <w:spacing w:after="0" w:line="360" w:lineRule="auto"/>
        <w:ind w:left="0" w:firstLine="540"/>
        <w:jc w:val="both"/>
        <w:rPr>
          <w:rFonts w:ascii="Times New Roman" w:hAnsi="Times New Roman"/>
          <w:sz w:val="24"/>
          <w:szCs w:val="24"/>
        </w:rPr>
      </w:pPr>
      <w:r w:rsidRPr="007807CD">
        <w:rPr>
          <w:rFonts w:ascii="Times New Roman" w:hAnsi="Times New Roman"/>
          <w:sz w:val="24"/>
          <w:szCs w:val="24"/>
        </w:rPr>
        <w:t xml:space="preserve">Специализация по категории от лица или категории от права. </w:t>
      </w:r>
    </w:p>
    <w:p w:rsidR="005572BD" w:rsidRPr="007807CD" w:rsidRDefault="005572BD" w:rsidP="007807CD">
      <w:pPr>
        <w:spacing w:after="0" w:line="360" w:lineRule="auto"/>
        <w:ind w:firstLine="540"/>
        <w:jc w:val="both"/>
        <w:rPr>
          <w:rFonts w:ascii="Times New Roman" w:hAnsi="Times New Roman"/>
          <w:b/>
          <w:sz w:val="24"/>
          <w:szCs w:val="24"/>
          <w:highlight w:val="red"/>
        </w:rPr>
      </w:pPr>
      <w:r w:rsidRPr="007807CD">
        <w:rPr>
          <w:rFonts w:ascii="Times New Roman" w:hAnsi="Times New Roman"/>
          <w:b/>
          <w:sz w:val="24"/>
          <w:szCs w:val="24"/>
        </w:rPr>
        <w:t>2.2. Регионализация или универсализъм</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Повдига се въпросът относно противопоставянето между регионализация и универсализъм. Доколко универсални са ПЧ: по отношение на установяването им може да се каже, че се върви към универсализъм (пример: ВДПЧ, Конвенцията на ООН за защита на децата, ратифицирана от 196 държави). Но правният универсализъм предполага ли универсализъм при прилагането? Съдът в Страсбург дори е установил понятието „национална свобода на преценка“, която той допуска дори в рамките на една държава. За да избегнат колизия между универсализма и регионализацията представителите на академичната общност, на съдебната власт и практиците следва да имат предвид следните съображения: 1) целта на ВДПЧ и необходимостта от систематично й тълкуване, като се взимат предвид международния контекст и регионалните особености); 2) принципите за </w:t>
      </w:r>
      <w:r w:rsidRPr="007807CD">
        <w:rPr>
          <w:rFonts w:ascii="Times New Roman" w:hAnsi="Times New Roman"/>
          <w:i/>
          <w:sz w:val="24"/>
          <w:szCs w:val="24"/>
        </w:rPr>
        <w:t>non bis idem</w:t>
      </w:r>
      <w:r w:rsidRPr="007807CD">
        <w:rPr>
          <w:rFonts w:ascii="Times New Roman" w:hAnsi="Times New Roman"/>
          <w:sz w:val="24"/>
          <w:szCs w:val="24"/>
        </w:rPr>
        <w:t xml:space="preserve"> и </w:t>
      </w:r>
      <w:r w:rsidRPr="007807CD">
        <w:rPr>
          <w:rFonts w:ascii="Times New Roman" w:hAnsi="Times New Roman"/>
          <w:i/>
          <w:sz w:val="24"/>
          <w:szCs w:val="24"/>
        </w:rPr>
        <w:t xml:space="preserve">litispendence; </w:t>
      </w:r>
      <w:r w:rsidRPr="007807CD">
        <w:rPr>
          <w:rFonts w:ascii="Times New Roman" w:hAnsi="Times New Roman"/>
          <w:sz w:val="24"/>
          <w:szCs w:val="24"/>
        </w:rPr>
        <w:t xml:space="preserve">3) правилото за прилагане към съденото лице на най-благоприятната норма; 4) диалогът между съдиите: пр. СЕС често се вдъхновява от решенията на Съда в Страсбург, както и от тези на Интер-американския съд за правата на човека. </w:t>
      </w:r>
    </w:p>
    <w:p w:rsidR="005572BD" w:rsidRPr="007807CD" w:rsidRDefault="005572BD" w:rsidP="007807CD">
      <w:pPr>
        <w:spacing w:after="0" w:line="360" w:lineRule="auto"/>
        <w:jc w:val="both"/>
        <w:rPr>
          <w:rFonts w:ascii="Times New Roman" w:hAnsi="Times New Roman"/>
          <w:b/>
          <w:sz w:val="24"/>
          <w:szCs w:val="24"/>
        </w:rPr>
      </w:pPr>
    </w:p>
    <w:p w:rsidR="005572BD" w:rsidRPr="007807CD" w:rsidRDefault="005572BD" w:rsidP="007807CD">
      <w:pPr>
        <w:spacing w:after="0" w:line="360" w:lineRule="auto"/>
        <w:ind w:firstLine="540"/>
        <w:jc w:val="both"/>
        <w:rPr>
          <w:rFonts w:ascii="Times New Roman" w:hAnsi="Times New Roman"/>
          <w:b/>
          <w:sz w:val="24"/>
          <w:szCs w:val="24"/>
          <w:highlight w:val="red"/>
        </w:rPr>
      </w:pPr>
      <w:r w:rsidRPr="007807CD">
        <w:rPr>
          <w:rFonts w:ascii="Times New Roman" w:hAnsi="Times New Roman"/>
          <w:b/>
          <w:sz w:val="24"/>
          <w:szCs w:val="24"/>
        </w:rPr>
        <w:t>3. Трите основни системи за защита на правата на човека</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Разликите между трите основни системи за защита на ПЧ се очертават както следва: </w:t>
      </w:r>
    </w:p>
    <w:p w:rsidR="005572BD" w:rsidRPr="007807CD" w:rsidRDefault="005572BD" w:rsidP="007807CD">
      <w:pPr>
        <w:pStyle w:val="ListParagraph"/>
        <w:numPr>
          <w:ilvl w:val="0"/>
          <w:numId w:val="4"/>
        </w:numPr>
        <w:spacing w:after="0" w:line="360" w:lineRule="auto"/>
        <w:ind w:left="0" w:firstLine="540"/>
        <w:jc w:val="both"/>
        <w:rPr>
          <w:rFonts w:ascii="Times New Roman" w:hAnsi="Times New Roman"/>
          <w:sz w:val="24"/>
          <w:szCs w:val="24"/>
        </w:rPr>
      </w:pPr>
      <w:r w:rsidRPr="007807CD">
        <w:rPr>
          <w:rFonts w:ascii="Times New Roman" w:hAnsi="Times New Roman"/>
          <w:b/>
          <w:sz w:val="24"/>
          <w:szCs w:val="24"/>
        </w:rPr>
        <w:t>Европейската система</w:t>
      </w:r>
      <w:r w:rsidRPr="007807CD">
        <w:rPr>
          <w:rFonts w:ascii="Times New Roman" w:hAnsi="Times New Roman"/>
          <w:sz w:val="24"/>
          <w:szCs w:val="24"/>
        </w:rPr>
        <w:t xml:space="preserve">, изградена около Европейската конвенцията за защита на правата на човека и основните свободи и Съда по правата на човека, установен в гр. Страсбург, Франция – представлява стройна процедурна система, която позволява широкообхватен съдебен контрол от самото начало до края на процедурата; </w:t>
      </w:r>
    </w:p>
    <w:p w:rsidR="005572BD" w:rsidRPr="007807CD" w:rsidRDefault="005572BD" w:rsidP="007807CD">
      <w:pPr>
        <w:pStyle w:val="ListParagraph"/>
        <w:numPr>
          <w:ilvl w:val="0"/>
          <w:numId w:val="4"/>
        </w:numPr>
        <w:spacing w:after="0" w:line="360" w:lineRule="auto"/>
        <w:ind w:left="0" w:firstLine="540"/>
        <w:jc w:val="both"/>
        <w:rPr>
          <w:rFonts w:ascii="Times New Roman" w:hAnsi="Times New Roman"/>
          <w:sz w:val="24"/>
          <w:szCs w:val="24"/>
        </w:rPr>
      </w:pPr>
      <w:r w:rsidRPr="007807CD">
        <w:rPr>
          <w:rFonts w:ascii="Times New Roman" w:hAnsi="Times New Roman"/>
          <w:sz w:val="24"/>
          <w:szCs w:val="24"/>
        </w:rPr>
        <w:t xml:space="preserve"> </w:t>
      </w:r>
      <w:r w:rsidRPr="007807CD">
        <w:rPr>
          <w:rFonts w:ascii="Times New Roman" w:hAnsi="Times New Roman"/>
          <w:b/>
          <w:sz w:val="24"/>
          <w:szCs w:val="24"/>
        </w:rPr>
        <w:t>Американската система</w:t>
      </w:r>
      <w:r w:rsidRPr="007807CD">
        <w:rPr>
          <w:rFonts w:ascii="Times New Roman" w:hAnsi="Times New Roman"/>
          <w:sz w:val="24"/>
          <w:szCs w:val="24"/>
        </w:rPr>
        <w:t xml:space="preserve"> – развила много добър механизъм за обезщетение;</w:t>
      </w:r>
    </w:p>
    <w:p w:rsidR="005572BD" w:rsidRPr="007807CD" w:rsidRDefault="005572BD" w:rsidP="007807CD">
      <w:pPr>
        <w:pStyle w:val="ListParagraph"/>
        <w:numPr>
          <w:ilvl w:val="0"/>
          <w:numId w:val="4"/>
        </w:numPr>
        <w:spacing w:after="0" w:line="360" w:lineRule="auto"/>
        <w:ind w:left="0" w:firstLine="540"/>
        <w:jc w:val="both"/>
        <w:rPr>
          <w:rFonts w:ascii="Times New Roman" w:hAnsi="Times New Roman"/>
          <w:sz w:val="24"/>
          <w:szCs w:val="24"/>
        </w:rPr>
      </w:pPr>
      <w:r w:rsidRPr="007807CD">
        <w:rPr>
          <w:rFonts w:ascii="Times New Roman" w:hAnsi="Times New Roman"/>
          <w:b/>
          <w:sz w:val="24"/>
          <w:szCs w:val="24"/>
        </w:rPr>
        <w:t>Африканската система (най-новата)</w:t>
      </w:r>
      <w:r w:rsidRPr="007807CD">
        <w:rPr>
          <w:rFonts w:ascii="Times New Roman" w:hAnsi="Times New Roman"/>
          <w:sz w:val="24"/>
          <w:szCs w:val="24"/>
        </w:rPr>
        <w:t xml:space="preserve"> – най-амбициозна като съдържание на текстовете за защита на ПЧ.</w:t>
      </w:r>
    </w:p>
    <w:p w:rsidR="005572BD" w:rsidRPr="007807CD" w:rsidRDefault="005572BD" w:rsidP="007807CD">
      <w:pPr>
        <w:pStyle w:val="ListParagraph"/>
        <w:spacing w:after="0" w:line="360" w:lineRule="auto"/>
        <w:ind w:left="0"/>
        <w:jc w:val="both"/>
        <w:rPr>
          <w:rFonts w:ascii="Times New Roman" w:hAnsi="Times New Roman"/>
          <w:sz w:val="24"/>
          <w:szCs w:val="24"/>
        </w:rPr>
      </w:pPr>
    </w:p>
    <w:p w:rsidR="005572BD" w:rsidRPr="007807CD" w:rsidRDefault="005572BD" w:rsidP="007807CD">
      <w:pPr>
        <w:pStyle w:val="ListParagraph"/>
        <w:spacing w:after="0" w:line="360" w:lineRule="auto"/>
        <w:ind w:left="0" w:firstLine="540"/>
        <w:jc w:val="both"/>
        <w:rPr>
          <w:rFonts w:ascii="Times New Roman" w:hAnsi="Times New Roman"/>
          <w:b/>
          <w:sz w:val="24"/>
          <w:szCs w:val="24"/>
        </w:rPr>
      </w:pPr>
      <w:r w:rsidRPr="007807CD">
        <w:rPr>
          <w:rFonts w:ascii="Times New Roman" w:hAnsi="Times New Roman"/>
          <w:b/>
          <w:sz w:val="24"/>
          <w:szCs w:val="24"/>
        </w:rPr>
        <w:t>3.1. Европейската система за защита на правата на човека</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Единствената специално предназначена система за защита на ПЧ в Европа е създадена под егидата на Съвета на Европа и се развива около Европейската конвенция за защита на правата на човека и основните свободи (ЕКЗПЧОС) и Европейския съд по правата на човека в Страсбург (ЕСПЧ или Съдът в Страсбург), като, по принцип, Европейският съюз няма компетенция в областта на ПЧ. Тоест, ЕС не е конкурентна на ЕСПЧ и ЕКСПЧОС система. С времето ЕКЗПЧОС е допълвана с последващи харти и протоколи. Например, Протокол № 12 за забрана на всяка форма на дискриминация превръща забраната за дискриминация в самостоятелно право, при условие, че това право съществува и във вътрешното право на съответната държава. Състоянието на ратификация е следното: 30 от 47-те държави членки на Съвет на Европа са я ратифицирали. Франция, например, не е ратифицирала този протокол, което означава, че забраната за дискриминация продължава да бъде право, защитавано през призмата на другите права, защитени в текстовете на ЕКЗПЧОС. Протокол № 13 за отмяна на смъртното наказание също е значим с това, че отменя смъртното наказание във всички обстоятелства.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Системата за контрол на изпълнението на съдебните решения е най-отличителната положителна характеристика на европейската система за защита на ПЧ. След Протокол № 11 от 1998 г. е предвиден единствен съдебен орган, до който има пряк достъп всеки гражданин, и който издава задължителни решения. След Протокол № 14 процедурата се реорганизира в триинстанционна, за да се избегне затрупването на съда с дела. Въвежда се етапът на единствения съдия, подпомаган от помощници-юрист, който се произнася по допустимостта на исковете. В последните години се наблюдават следните нововъведения: допълнителен критерий за допустимост (съществен ущърб), система на решението-пилот (единственият съдия ще се произнесе и по съществото на иска), контрол от страна на ЕСПЧ върху изпълнението на решенията, а също така и процедура за издаване на тълкувателни решения (по подобие на преюдициалните запитвания на Съда на ЕС).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Изначалният съдия, компетентен по въпросите на ПЧ и тяхната защита, е националният съдия, а ЕСПЧ действа на принципа на субсидиарност. На етапа на допустимост, ЕСПЧ трябва да прецени своята компетентност спрямо субекта (пострадалото лице), материята (</w:t>
      </w:r>
      <w:r w:rsidRPr="007807CD">
        <w:rPr>
          <w:rFonts w:ascii="Times New Roman" w:hAnsi="Times New Roman"/>
          <w:i/>
          <w:sz w:val="24"/>
          <w:szCs w:val="24"/>
        </w:rPr>
        <w:t>materiae</w:t>
      </w:r>
      <w:r w:rsidRPr="007807CD">
        <w:rPr>
          <w:rFonts w:ascii="Times New Roman" w:hAnsi="Times New Roman"/>
          <w:sz w:val="24"/>
          <w:szCs w:val="24"/>
        </w:rPr>
        <w:t>), мястото (</w:t>
      </w:r>
      <w:r w:rsidRPr="007807CD">
        <w:rPr>
          <w:rFonts w:ascii="Times New Roman" w:hAnsi="Times New Roman"/>
          <w:i/>
          <w:sz w:val="24"/>
          <w:szCs w:val="24"/>
        </w:rPr>
        <w:t>locis</w:t>
      </w:r>
      <w:r w:rsidRPr="007807CD">
        <w:rPr>
          <w:rFonts w:ascii="Times New Roman" w:hAnsi="Times New Roman"/>
          <w:sz w:val="24"/>
          <w:szCs w:val="24"/>
        </w:rPr>
        <w:t>) и времето (</w:t>
      </w:r>
      <w:r w:rsidRPr="007807CD">
        <w:rPr>
          <w:rFonts w:ascii="Times New Roman" w:hAnsi="Times New Roman"/>
          <w:i/>
          <w:sz w:val="24"/>
          <w:szCs w:val="24"/>
        </w:rPr>
        <w:t>temporis</w:t>
      </w:r>
      <w:r w:rsidRPr="007807CD">
        <w:rPr>
          <w:rFonts w:ascii="Times New Roman" w:hAnsi="Times New Roman"/>
          <w:sz w:val="24"/>
          <w:szCs w:val="24"/>
        </w:rPr>
        <w:t xml:space="preserve">). Също така, на този етап, европейският съдия в Страсбург преценява дали жалба изпълнява следните условия за допустимост: изчерпване на националните възможности за обжалване, липса на предишно съдебно решение на ЕСПЧ по подобен казус (принцип </w:t>
      </w:r>
      <w:r w:rsidRPr="007807CD">
        <w:rPr>
          <w:rFonts w:ascii="Times New Roman" w:hAnsi="Times New Roman"/>
          <w:i/>
          <w:sz w:val="24"/>
          <w:szCs w:val="24"/>
        </w:rPr>
        <w:t>non bis idem</w:t>
      </w:r>
      <w:r w:rsidRPr="007807CD">
        <w:rPr>
          <w:rFonts w:ascii="Times New Roman" w:hAnsi="Times New Roman"/>
          <w:sz w:val="24"/>
          <w:szCs w:val="24"/>
        </w:rPr>
        <w:t xml:space="preserve">), спазване на срока от 6 месеца за подаване на жалбата и основателност на жалбата. Този европейски модел все още се развива и еволюира: Протокол № 15 отбелязва присъединяването на ЕСПЧ към принципа на субсидиарност и приемането на понятието за национална свобода на преценка, също така е намален срокът за подаване на жалба от 6 на 4 месеца, а с Протокол № 16 се създава компетенция за издаване на решения по преюдициални запитвания, чрез които ЕСПЧ подпомага националните съдии. Също така, тези два протокола имат за цел да намалят обема работа на европейския съд. Като цяло, ЕСПЧ има правомощия за пълен съдебен контрол: от допустимостта до контрола на изпълнение на съдебните решения. Тези решения имат „силата на присъденото нещо“, т.е. подлежат на пряко изпълнение във вътрешния правен ред на държавите. Контролът върху изпълнение на съдебните решения е поверен на политически орган – Съветът на министрите към Съвета на Европа.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Същественият недостатък на европейската система за защита на ПЧ (ЕСПЧ) е равнището на обезщетението – тя цели “справедливо обезщетение“, т.е. парична компенсация, като липсват гаранции срещу повторение на нарушението. През 2006 г. след решението по делото </w:t>
      </w:r>
      <w:r w:rsidRPr="007807CD">
        <w:rPr>
          <w:rFonts w:ascii="Times New Roman" w:hAnsi="Times New Roman"/>
          <w:i/>
          <w:sz w:val="24"/>
          <w:szCs w:val="24"/>
        </w:rPr>
        <w:t>Scordino</w:t>
      </w:r>
      <w:r w:rsidRPr="007807CD">
        <w:rPr>
          <w:rFonts w:ascii="Times New Roman" w:hAnsi="Times New Roman"/>
          <w:sz w:val="24"/>
          <w:szCs w:val="24"/>
        </w:rPr>
        <w:t xml:space="preserve">, Съдът в Страсбург започва да разширява компетенциите си по отношение на задължението за изпълнение на неговите решения като указва на националния съдия какви мерки за изпълнение да предприеме, но без да се разпростира към обезщетението (за разлика от Интер-американския съд).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Интересно е, че ЕСПЧ е разширил още своите компетенции с временни и обезпечителни мерки (</w:t>
      </w:r>
      <w:r w:rsidRPr="007807CD">
        <w:rPr>
          <w:rFonts w:ascii="Times New Roman" w:hAnsi="Times New Roman"/>
          <w:i/>
          <w:sz w:val="24"/>
          <w:szCs w:val="24"/>
        </w:rPr>
        <w:t>Namatkubov c/o Turquie</w:t>
      </w:r>
      <w:r w:rsidRPr="007807CD">
        <w:rPr>
          <w:rFonts w:ascii="Times New Roman" w:hAnsi="Times New Roman"/>
          <w:sz w:val="24"/>
          <w:szCs w:val="24"/>
        </w:rPr>
        <w:t xml:space="preserve">), основавайки се на чл. 39 от своя вътрешен регламент, който не е ратифициран от държавите членки на Съвета на Европа. </w:t>
      </w:r>
    </w:p>
    <w:p w:rsidR="005572BD" w:rsidRPr="007807CD" w:rsidRDefault="005572BD" w:rsidP="007807CD">
      <w:pPr>
        <w:spacing w:after="0" w:line="360" w:lineRule="auto"/>
        <w:ind w:firstLine="540"/>
        <w:jc w:val="both"/>
        <w:rPr>
          <w:rFonts w:ascii="Times New Roman" w:hAnsi="Times New Roman"/>
          <w:sz w:val="24"/>
          <w:szCs w:val="24"/>
        </w:rPr>
      </w:pPr>
    </w:p>
    <w:p w:rsidR="005572BD" w:rsidRPr="007807CD" w:rsidRDefault="005572BD" w:rsidP="007807CD">
      <w:pPr>
        <w:spacing w:after="0" w:line="360" w:lineRule="auto"/>
        <w:ind w:firstLine="540"/>
        <w:jc w:val="both"/>
        <w:rPr>
          <w:rFonts w:ascii="Times New Roman" w:hAnsi="Times New Roman"/>
          <w:b/>
          <w:sz w:val="24"/>
          <w:szCs w:val="24"/>
        </w:rPr>
      </w:pPr>
      <w:r w:rsidRPr="007807CD">
        <w:rPr>
          <w:rFonts w:ascii="Times New Roman" w:hAnsi="Times New Roman"/>
          <w:b/>
          <w:sz w:val="24"/>
          <w:szCs w:val="24"/>
        </w:rPr>
        <w:t>3.2.Интер-американската и африканската системи за защита на ПЧ</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Интер-американската система за защита на правата на човека е регионална система за защита на правата на човека и е отговорна за мониторинга, насърчаването и защитата на правата на човека в 35-те независими държави на континента Америка, които са членове на Организацията на американските държави (OAS). Тази система почива на две основни организации: Интер-американската комисия по правата на човека и Интер-американският съд по правата на човека. И двата органа могат да решават индивидуални жалби относно предполагаеми нарушения на правата на човека и могат да постановяват спешни защитни мерки, когато физическо лице или обектът на жалба е в непосредствен риск от непоправима вреда. Комисията също участва в редица дейности за мониторинг и насърчаване на правата на човека, докато съдът може да издава консултативни становища по въпроси, свързани с тълкуването на интер-американските инструменти по искане на орган или държава-членка на OAS.</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Както и в европейската система, допълнителните органи се фокусират върху конкретни права или групи. Такива са, например, Интер-американската комисия за жените, Работната група по протокола от Сан Салвадор и различните докладчици към комисията.</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Африканската система е най-младата от трите съдебни или квазисъдебни регионални системи за правата на човека и е създадена под егидата на Африканския съюз (АС). Подобно на Интер-американската система (и Европейската система, както е първоначално проектирана), тя включва комисия и съд с допълнителни мандати. Африканската комисия за правата на хората, Африканският съд по правата на хората, както и Африканския комитет на експертите по правата и благополучието на детето имат правомощия да се произнасят по жалби срещу нарушения на правата на човека.</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Тези две системи ще бъдат отбелязани само с най-отличителните си спрямо европейската система характеристики. Американската система осигурява съдебен контрол, който макар да не е директно достъпен за гражданите, осигурява обезщетение </w:t>
      </w:r>
      <w:r w:rsidRPr="007807CD">
        <w:rPr>
          <w:rFonts w:ascii="Times New Roman" w:hAnsi="Times New Roman"/>
          <w:i/>
          <w:sz w:val="24"/>
          <w:szCs w:val="24"/>
        </w:rPr>
        <w:t>in integrum</w:t>
      </w:r>
      <w:r w:rsidRPr="007807CD">
        <w:rPr>
          <w:rFonts w:ascii="Times New Roman" w:hAnsi="Times New Roman"/>
          <w:sz w:val="24"/>
          <w:szCs w:val="24"/>
        </w:rPr>
        <w:t>: възстановява старата ситуация преди нарушението, а в допълнение се стреми да постигне и ситуацията, която би била, ако нарушението въобще не се е случвало (загуба за възможност), като така интегрира социално-икономическите права. Конвенцията за ПЧ на интер-американската организация предписва на държавите членки законодателни промени за съобразяване с изискванията й за спазване на ПЧ. Интер-американският съд може да постанови временни мерки на всеки етап от процедурата, дори преди да се е запознал с жалбата.</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Африканската система се основа на харта на правата на човека, която съдържа в едно политически, граждански, социални и икономически права, а също и колективния аспект на ПЧ, т.е. т.нар. права от трето поколение, като право на солидарност, право на чиста околна среда и др. Текстът съдържа също така и задълженията на отделния гражданин.</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Както американската, така и африканската система съдържат възможност за защита на ПЧ на светлината на всички международни инструменти за тяхната защита. </w:t>
      </w:r>
    </w:p>
    <w:p w:rsidR="005572BD" w:rsidRPr="007807CD" w:rsidRDefault="005572BD" w:rsidP="007807CD">
      <w:pPr>
        <w:spacing w:after="0" w:line="360" w:lineRule="auto"/>
        <w:ind w:firstLine="540"/>
        <w:jc w:val="both"/>
        <w:rPr>
          <w:rFonts w:ascii="Times New Roman" w:hAnsi="Times New Roman"/>
          <w:sz w:val="24"/>
          <w:szCs w:val="24"/>
        </w:rPr>
      </w:pP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b/>
          <w:sz w:val="24"/>
          <w:szCs w:val="24"/>
        </w:rPr>
        <w:t>3.3. Национални институции за защита на правата на човека (НИПЧ). Омбудсман.</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В международен план, понятието за национална институция за защита на правата на човека се заражда през 1978 г. През 1991 г., по време на международен семинар в Париж, посветен на институциите, участващи в защитата на ПЧ, се открояват следните основополагащите принципи на функциониране на НИПЧ: независимост, плурализъм и широк мандат в областта на правата на човека. Съществуването на НИПЧ е официално уредено в Резолюция 1992/54 от 3 март 1992 г. на Комисията за правата на човека към ООН и в Резолюция 48/134 от 20 декември 1993 г. на Генералната асамблея на ООН с цел промотиране и защита на правата на човека. Тези актове, последвалите ги резолюции, наречени „Принципите от Париж“, както и Универсалната декларация за правата на човека на ООН, установяват принципите на съществуване и функциониране на НИПЧ.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Понастоящем, НИПЧ се класифицират като: 1) НИПЧ със статут А, тоест институции, които напълно спазват Принципите от Париж. В света има около 78 такива; 2) НИПЧ със статут В, които не спазват напълно тези принципи – 33 на брой; 3) НИПЧ със статут С (без специфичен статут), които са 10 на брой. Всички НИПЧ организират взаимодействието помежду си чрез Международния координационен комитет на националните институции за правата на човека, понякога съкратено назоваван Международен координационен комитет, който е неправителствена организация, представляваща глобална мрежа на националните институции за правата на човека. НИПЧ се обединяват и на регионален или под-регионален принцип – в света съществуват 4 такива групи (европейска, американска, африканска и азиатско-тихоокеанска група). Тези групи могат да участват в Съвета по правата на човека като наблюдатели и да участват в различни механизми за защита на ПЧ.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Те могат да приемат различна форма: Комисия, Омбудсман (България, Словакия, др.), научен институт (Германия, Дания). Понастоящем, за да бъде една организация призната като НИПЧ, тя трябва да изпълнява следните условия: да бъде акредитирана към ООН въз основа на критериите за независимост от правителството (политическа и финансова, което означава, че трябва да има отделна бюджетна линия, макар че може да бъде административно зачислена към дадена правителствена институция), плурализъм и широк мандат в областта на ПЧ.</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Във Франция, такава институция е създадената със закон Консултативна комисия за защита на ПЧ, зачислена към администрацията на премиер-министъра. Тя няма юридическа правосубектност и не се занимава с индивидуални жалби, а има консултативни функции. Не е квази-юрисдикция. Изцяло се финансира само от публични средства. Бюджетът й се договаря с националния парламент. Разходването му подлежи на одит от сметната палата. Откроява се, че и във Франция, и в другите държави, финансовата независимост е относителна, защото бюджетът се изготвя и гласува в рамките на националния закон за бюджета. Действия: НИПЧ могат да денонсират дадена мярка или практика (пресконференция или медийна кампания; официално мотивирано становище с предложение за решение; официални, но не публични писма-призовки към министрите), да формулира препоръка или да се конституира като трета страна в съдебен процес (често го прави пред Съда по правата на човека в Страсбург, както и да сезират съда). Комисията е посредник и медиатор между правителство/общество, НПО (вкл. не-акредитирани) /международни институции (Комитет по ПЧ към ООН). Уникално качество на френската система: Комисията е активна и на международно ниво, което означава натиск в ООН върху собствената държава. Изготвя доклади всяка година на определена тематика.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В България такава НИПЧ е институцията на омбудсмана. Омбудсманът е висш и независим конституционен орган, който се избира от Народното събрание за срок от пет години. Той е независим в своята дейност и се подчинява само на Конституцията, законите и международните договори, ратифицирани и влезли в сила за Република България. Омбудсманът се застъпва с предвидените в Закона за омбудсмана средства, когато с действие или бездействие се засягат или нарушават правата и свободите на гражданите от държавните и общинските органи и техните администрации, както и от лицата, на които е възложено да предоставят обществени услуги. Жалбите и сигналите до омбудсмана са в напълно свободна форма, стига разбираемо да са изложени оплакванията и да са посочени правата, които са нарушени. Омбудсманът няма правомощия да отменя административни актове. Неговата задача е чрез силата на аргументите и справедливото обществено мнение да убеди един административен орган да поправи своята лоша администрация, да отмени свои актове, с които накърнява правата на хората. В Република България, омбудсманът е много активен и се отличава с редица успешни инициативи и в областта на данъчното облагане, например със становището си за отпадане на задължението за подаване на годишна данъчна декларация по ЗДДФЛ от безработни лица, с препоръки до министър-председателя във връзка с проблемите, свързани с методиката за определяне на таксата за битови отпадъци, за създаване на работна група в МОСВ, която да изготви промени в Закона за местните данъци такси и др. Би могло да се помисли за доразвиване на правомощията на българската НИПЧ в посока участие в съдебен процес и в международните организации за защита на ПЧ, както и да се стимулира ролята й в защита на социално-икономическите права на националната територия. </w:t>
      </w:r>
    </w:p>
    <w:p w:rsidR="005572BD" w:rsidRPr="007807CD" w:rsidRDefault="005572BD" w:rsidP="007807CD">
      <w:pPr>
        <w:spacing w:after="0" w:line="360" w:lineRule="auto"/>
        <w:jc w:val="both"/>
        <w:rPr>
          <w:rFonts w:ascii="Times New Roman" w:hAnsi="Times New Roman"/>
          <w:sz w:val="24"/>
          <w:szCs w:val="24"/>
        </w:rPr>
      </w:pPr>
    </w:p>
    <w:p w:rsidR="005572BD" w:rsidRPr="007807CD" w:rsidRDefault="005572BD" w:rsidP="007807CD">
      <w:pPr>
        <w:spacing w:after="0" w:line="360" w:lineRule="auto"/>
        <w:ind w:firstLine="540"/>
        <w:jc w:val="both"/>
        <w:rPr>
          <w:rFonts w:ascii="Times New Roman" w:hAnsi="Times New Roman"/>
          <w:b/>
          <w:sz w:val="24"/>
          <w:szCs w:val="24"/>
        </w:rPr>
      </w:pPr>
      <w:r w:rsidRPr="007807CD">
        <w:rPr>
          <w:rFonts w:ascii="Times New Roman" w:hAnsi="Times New Roman"/>
          <w:b/>
          <w:sz w:val="24"/>
          <w:szCs w:val="24"/>
        </w:rPr>
        <w:tab/>
        <w:t>4. Харта на основните права на ЕС</w:t>
      </w:r>
    </w:p>
    <w:p w:rsidR="005572BD" w:rsidRPr="007807CD" w:rsidRDefault="005572BD" w:rsidP="007807CD">
      <w:pPr>
        <w:spacing w:after="0" w:line="360" w:lineRule="auto"/>
        <w:ind w:firstLine="540"/>
        <w:jc w:val="both"/>
        <w:rPr>
          <w:rFonts w:ascii="Times New Roman" w:hAnsi="Times New Roman"/>
          <w:b/>
          <w:sz w:val="24"/>
          <w:szCs w:val="24"/>
        </w:rPr>
      </w:pPr>
      <w:r w:rsidRPr="007807CD">
        <w:rPr>
          <w:rFonts w:ascii="Times New Roman" w:hAnsi="Times New Roman"/>
          <w:b/>
          <w:sz w:val="24"/>
          <w:szCs w:val="24"/>
        </w:rPr>
        <w:t>4.1. Характеристика</w:t>
      </w:r>
    </w:p>
    <w:p w:rsidR="005572BD" w:rsidRPr="007807CD" w:rsidRDefault="005572BD" w:rsidP="007807CD">
      <w:pPr>
        <w:spacing w:after="0" w:line="360" w:lineRule="auto"/>
        <w:ind w:firstLine="540"/>
        <w:jc w:val="both"/>
        <w:rPr>
          <w:rFonts w:ascii="Times New Roman" w:hAnsi="Times New Roman"/>
          <w:b/>
          <w:sz w:val="24"/>
          <w:szCs w:val="24"/>
        </w:rPr>
      </w:pPr>
      <w:r w:rsidRPr="007807CD">
        <w:rPr>
          <w:rFonts w:ascii="Times New Roman" w:hAnsi="Times New Roman"/>
          <w:bCs/>
          <w:sz w:val="24"/>
          <w:szCs w:val="24"/>
        </w:rPr>
        <w:t xml:space="preserve">Хартата </w:t>
      </w:r>
      <w:r w:rsidRPr="007807CD">
        <w:rPr>
          <w:rFonts w:ascii="Times New Roman" w:hAnsi="Times New Roman"/>
          <w:bCs/>
          <w:sz w:val="24"/>
          <w:szCs w:val="24"/>
          <w:lang w:eastAsia="bg-BG"/>
        </w:rPr>
        <w:t>е част от първичното право на Съюза след 2009 г., установявайки посочените в нея права, свободи и принципи</w:t>
      </w:r>
      <w:r w:rsidRPr="007807CD">
        <w:rPr>
          <w:rFonts w:ascii="Times New Roman" w:hAnsi="Times New Roman"/>
          <w:bCs/>
          <w:sz w:val="24"/>
          <w:szCs w:val="24"/>
          <w:vertAlign w:val="superscript"/>
          <w:lang w:eastAsia="bg-BG"/>
        </w:rPr>
        <w:footnoteReference w:id="8"/>
      </w:r>
      <w:r w:rsidRPr="007807CD">
        <w:rPr>
          <w:rFonts w:ascii="Times New Roman" w:hAnsi="Times New Roman"/>
          <w:bCs/>
          <w:sz w:val="24"/>
          <w:szCs w:val="24"/>
          <w:lang w:eastAsia="bg-BG"/>
        </w:rPr>
        <w:t xml:space="preserve">. </w:t>
      </w:r>
      <w:r w:rsidRPr="007807CD">
        <w:rPr>
          <w:rFonts w:ascii="Times New Roman" w:hAnsi="Times New Roman"/>
          <w:bCs/>
          <w:sz w:val="24"/>
          <w:szCs w:val="24"/>
        </w:rPr>
        <w:t>В преамбюла на Хартата на основните права в ЕС</w:t>
      </w:r>
      <w:r w:rsidRPr="007807CD">
        <w:rPr>
          <w:rFonts w:ascii="Times New Roman" w:hAnsi="Times New Roman"/>
          <w:bCs/>
          <w:sz w:val="24"/>
          <w:szCs w:val="24"/>
          <w:vertAlign w:val="superscript"/>
        </w:rPr>
        <w:footnoteReference w:id="9"/>
      </w:r>
      <w:r w:rsidRPr="007807CD">
        <w:rPr>
          <w:rFonts w:ascii="Times New Roman" w:hAnsi="Times New Roman"/>
          <w:bCs/>
          <w:sz w:val="24"/>
          <w:szCs w:val="24"/>
        </w:rPr>
        <w:t xml:space="preserve"> се посочва, че: „</w:t>
      </w:r>
      <w:r w:rsidRPr="007807CD">
        <w:rPr>
          <w:rFonts w:ascii="Times New Roman" w:hAnsi="Times New Roman"/>
          <w:sz w:val="24"/>
          <w:szCs w:val="24"/>
        </w:rPr>
        <w:t xml:space="preserve">Като съзнава своето духовно и морално наследство, Съюзът се основава на неделимите и универсални ценности на човешко достойнство, свобода, равенство и солидарност; той почива на принципа на демокрацията и на принципа на правовата държава. Той поставя човека в центъра на своята дейност, като учредява гражданството на Съюза и създава пространство на свобода, сигурност и правосъдие. Съюзът допринася за съхраняването и развитието на тези общи ценности при зачитане многообразието на културите и традициите на европейските народи, както и националната идентичност на държавите-членки и организацията на техните публични власти на национално, регионално и местно равнище; той се стреми да насърчава балансирано и устойчиво развитие и гарантира свободното движение на хора, услуги, стоки и капитали, както и свободата на установяване. За тази цел е необходимо да се засили защитата на основните права в светлината на развитието на обществото, на социалния прогрес, на научните и технологични постижения като те се включат в Харта, която ги прави по-видими. При съблюдаване на компетенциите и задачите на Съюза, както и принципа на субсидиарност, настоящата Харта потвърждава отново правата, които произтичат по-специално от общите за държавите-членки конституционни традиции и международни задължения, както и от Европейската конвенция за защита на правата на човека и основните свободи, от приетите от Съюза и от Съвета на Европа социални харти, от практиката на Съда на Европейския съюз и на Европейския съд по правата на човека. В този контекст Хартата ще бъде тълкувана от юрисдикциите на Съюза и на държавите-членки, като надлежно се вземат под внимание разясненията, установени под ръководството на президиума на Конвента, който изработи Хартата, и актуализирани под ръководството на президиума на Европейския конвент. Ползването от тези права поражда отговорности и задължения, както спрямо другите, така и спрямо човешката общност и бъдещите поколения. Въз основа на това Съюзът признава посочените по-долу права, свободи и принципи.“ </w:t>
      </w:r>
    </w:p>
    <w:p w:rsidR="005572BD" w:rsidRPr="007807CD" w:rsidRDefault="005572BD" w:rsidP="007807CD">
      <w:pPr>
        <w:spacing w:after="0" w:line="360" w:lineRule="auto"/>
        <w:ind w:firstLine="540"/>
        <w:jc w:val="both"/>
        <w:rPr>
          <w:rFonts w:ascii="Times New Roman" w:hAnsi="Times New Roman"/>
          <w:sz w:val="24"/>
          <w:szCs w:val="24"/>
          <w:lang w:eastAsia="bg-BG"/>
        </w:rPr>
      </w:pPr>
      <w:r w:rsidRPr="007807CD">
        <w:rPr>
          <w:rFonts w:ascii="Times New Roman" w:hAnsi="Times New Roman"/>
          <w:sz w:val="24"/>
          <w:szCs w:val="24"/>
        </w:rPr>
        <w:t>Съдът на ЕС, при тълкуване на правото на ЕС, е интерпретирал посочените в хартата права и принципи в своите решения</w:t>
      </w:r>
      <w:r w:rsidRPr="007807CD">
        <w:rPr>
          <w:rStyle w:val="FootnoteReference"/>
          <w:rFonts w:ascii="Times New Roman" w:hAnsi="Times New Roman"/>
          <w:sz w:val="24"/>
          <w:szCs w:val="24"/>
        </w:rPr>
        <w:footnoteReference w:id="10"/>
      </w:r>
      <w:r w:rsidRPr="007807CD">
        <w:rPr>
          <w:rFonts w:ascii="Times New Roman" w:hAnsi="Times New Roman"/>
          <w:sz w:val="24"/>
          <w:szCs w:val="24"/>
        </w:rPr>
        <w:t xml:space="preserve">. В приложението към настоящото изследване се съдържа негова практика по отделни разпоредби на Хартата без претенции за изчерпателност. </w:t>
      </w:r>
      <w:r w:rsidRPr="007807CD">
        <w:rPr>
          <w:rFonts w:ascii="Times New Roman" w:hAnsi="Times New Roman"/>
          <w:sz w:val="24"/>
          <w:szCs w:val="24"/>
          <w:lang w:eastAsia="bg-BG"/>
        </w:rPr>
        <w:t>Нека припомним, че</w:t>
      </w:r>
      <w:r w:rsidRPr="007807CD">
        <w:rPr>
          <w:rFonts w:ascii="Times New Roman" w:hAnsi="Times New Roman"/>
          <w:b/>
          <w:bCs/>
          <w:sz w:val="24"/>
          <w:szCs w:val="24"/>
          <w:lang w:eastAsia="bg-BG"/>
        </w:rPr>
        <w:t xml:space="preserve"> </w:t>
      </w:r>
      <w:r w:rsidRPr="007807CD">
        <w:rPr>
          <w:rFonts w:ascii="Times New Roman" w:hAnsi="Times New Roman"/>
          <w:sz w:val="24"/>
          <w:szCs w:val="24"/>
          <w:lang w:eastAsia="bg-BG"/>
        </w:rPr>
        <w:t>беше решено, че Съюзът ще се присъдени към ЕКЗПЧОС</w:t>
      </w:r>
      <w:r w:rsidRPr="007807CD">
        <w:rPr>
          <w:rFonts w:ascii="Times New Roman" w:hAnsi="Times New Roman"/>
          <w:sz w:val="24"/>
          <w:szCs w:val="24"/>
          <w:vertAlign w:val="superscript"/>
          <w:lang w:eastAsia="bg-BG"/>
        </w:rPr>
        <w:footnoteReference w:id="11"/>
      </w:r>
      <w:r w:rsidRPr="007807CD">
        <w:rPr>
          <w:rFonts w:ascii="Times New Roman" w:hAnsi="Times New Roman"/>
          <w:sz w:val="24"/>
          <w:szCs w:val="24"/>
          <w:lang w:eastAsia="bg-BG"/>
        </w:rPr>
        <w:t>, но впоследствие бе установено, че споразумението за присъединяване на ЕС към ЕКЗПЧОС не е съвместимо с член 6, параграф 2 ДЕС, нито с Протокол (№ 8) относно член 6, параграф 2 от Договора за Европейския съюз</w:t>
      </w:r>
      <w:r w:rsidRPr="007807CD">
        <w:rPr>
          <w:rFonts w:ascii="Times New Roman" w:hAnsi="Times New Roman"/>
          <w:sz w:val="24"/>
          <w:szCs w:val="24"/>
          <w:vertAlign w:val="superscript"/>
          <w:lang w:eastAsia="bg-BG"/>
        </w:rPr>
        <w:footnoteReference w:id="12"/>
      </w:r>
      <w:r w:rsidRPr="007807CD">
        <w:rPr>
          <w:rFonts w:ascii="Times New Roman" w:hAnsi="Times New Roman"/>
          <w:sz w:val="24"/>
          <w:szCs w:val="24"/>
          <w:lang w:eastAsia="bg-BG"/>
        </w:rPr>
        <w:t xml:space="preserve">. В съответствие с член 6, параграф 3 ДЕС основните права, както са гарантирани от ЕКЗПЧОС, са част от правото на Съюза в качеството им на общи принципи. </w:t>
      </w:r>
      <w:r w:rsidRPr="007807CD">
        <w:rPr>
          <w:rFonts w:ascii="Times New Roman" w:hAnsi="Times New Roman"/>
          <w:b/>
          <w:bCs/>
          <w:sz w:val="24"/>
          <w:szCs w:val="24"/>
          <w:lang w:eastAsia="bg-BG"/>
        </w:rPr>
        <w:t>Въпреки това, докато Съюзът не се присъедини към тази конвенция, тя не представлява юридически акт, формално интегриран в правния ред на Съюза</w:t>
      </w:r>
      <w:r w:rsidRPr="007807CD">
        <w:rPr>
          <w:rFonts w:ascii="Times New Roman" w:hAnsi="Times New Roman"/>
          <w:b/>
          <w:bCs/>
          <w:sz w:val="24"/>
          <w:szCs w:val="24"/>
          <w:vertAlign w:val="superscript"/>
          <w:lang w:eastAsia="bg-BG"/>
        </w:rPr>
        <w:footnoteReference w:id="13"/>
      </w:r>
      <w:r w:rsidRPr="007807CD">
        <w:rPr>
          <w:rFonts w:ascii="Times New Roman" w:hAnsi="Times New Roman"/>
          <w:sz w:val="24"/>
          <w:szCs w:val="24"/>
          <w:lang w:eastAsia="bg-BG"/>
        </w:rPr>
        <w:t xml:space="preserve"> (вж. в този смисъл решения </w:t>
      </w:r>
      <w:r w:rsidRPr="007807CD">
        <w:rPr>
          <w:rFonts w:ascii="Times New Roman" w:hAnsi="Times New Roman"/>
          <w:i/>
          <w:iCs/>
          <w:sz w:val="24"/>
          <w:szCs w:val="24"/>
          <w:lang w:eastAsia="bg-BG"/>
        </w:rPr>
        <w:t>Kamberaj</w:t>
      </w:r>
      <w:r w:rsidRPr="007807CD">
        <w:rPr>
          <w:rFonts w:ascii="Times New Roman" w:hAnsi="Times New Roman"/>
          <w:sz w:val="24"/>
          <w:szCs w:val="24"/>
          <w:lang w:eastAsia="bg-BG"/>
        </w:rPr>
        <w:t>, C</w:t>
      </w:r>
      <w:r w:rsidRPr="007807CD">
        <w:rPr>
          <w:rFonts w:ascii="Times New Roman" w:hAnsi="Times New Roman"/>
          <w:sz w:val="24"/>
          <w:szCs w:val="24"/>
          <w:lang w:eastAsia="bg-BG"/>
        </w:rPr>
        <w:noBreakHyphen/>
        <w:t xml:space="preserve">571/10, EU:C:2012:233, т. 60 и </w:t>
      </w:r>
      <w:r w:rsidRPr="007807CD">
        <w:rPr>
          <w:rFonts w:ascii="Times New Roman" w:hAnsi="Times New Roman"/>
          <w:i/>
          <w:iCs/>
          <w:sz w:val="24"/>
          <w:szCs w:val="24"/>
          <w:lang w:eastAsia="bg-BG"/>
        </w:rPr>
        <w:t>Åkerberg Fransson</w:t>
      </w:r>
      <w:r w:rsidRPr="007807CD">
        <w:rPr>
          <w:rFonts w:ascii="Times New Roman" w:hAnsi="Times New Roman"/>
          <w:sz w:val="24"/>
          <w:szCs w:val="24"/>
          <w:lang w:eastAsia="bg-BG"/>
        </w:rPr>
        <w:t>, EU:C:2013:105, т. 44).</w:t>
      </w:r>
    </w:p>
    <w:p w:rsidR="005572BD" w:rsidRPr="007807CD" w:rsidRDefault="005572BD" w:rsidP="007807CD">
      <w:pPr>
        <w:tabs>
          <w:tab w:val="left" w:pos="7797"/>
        </w:tabs>
        <w:autoSpaceDE w:val="0"/>
        <w:autoSpaceDN w:val="0"/>
        <w:adjustRightInd w:val="0"/>
        <w:spacing w:line="360" w:lineRule="auto"/>
        <w:ind w:firstLine="283"/>
        <w:jc w:val="both"/>
        <w:textAlignment w:val="center"/>
        <w:rPr>
          <w:rFonts w:ascii="Times New Roman" w:hAnsi="Times New Roman"/>
          <w:b/>
          <w:bCs/>
          <w:spacing w:val="-2"/>
          <w:sz w:val="24"/>
          <w:szCs w:val="24"/>
        </w:rPr>
      </w:pPr>
      <w:r w:rsidRPr="007807CD">
        <w:rPr>
          <w:rFonts w:ascii="Times New Roman" w:hAnsi="Times New Roman"/>
          <w:b/>
          <w:bCs/>
          <w:spacing w:val="-2"/>
          <w:sz w:val="24"/>
          <w:szCs w:val="24"/>
        </w:rPr>
        <w:t>В доктрината е безспорно, че независимо дали се съдържат в разпоредбите на Договорите, или в съдебната практика, общите принципи на правото на ЕС представляват първични източници, на които стоящите по-долу в йерархията на източниците на актовете не следва да противоречат. В противен случай последните може да бъдат отменени от СЕС по реда на чл. 263 ДФЕС.</w:t>
      </w:r>
      <w:r w:rsidRPr="007807CD">
        <w:rPr>
          <w:rFonts w:ascii="Times New Roman" w:hAnsi="Times New Roman"/>
          <w:b/>
          <w:bCs/>
          <w:spacing w:val="-2"/>
          <w:sz w:val="24"/>
          <w:szCs w:val="24"/>
          <w:vertAlign w:val="superscript"/>
        </w:rPr>
        <w:footnoteReference w:id="14"/>
      </w:r>
      <w:r w:rsidRPr="007807CD">
        <w:rPr>
          <w:rFonts w:ascii="Times New Roman" w:hAnsi="Times New Roman"/>
          <w:spacing w:val="-2"/>
          <w:sz w:val="24"/>
          <w:szCs w:val="24"/>
        </w:rPr>
        <w:t xml:space="preserve"> </w:t>
      </w:r>
      <w:r w:rsidRPr="007807CD">
        <w:rPr>
          <w:rFonts w:ascii="Times New Roman" w:hAnsi="Times New Roman"/>
          <w:b/>
          <w:bCs/>
          <w:spacing w:val="-4"/>
          <w:sz w:val="24"/>
          <w:szCs w:val="24"/>
        </w:rPr>
        <w:t>Към източниците на първичното право следва да се добавят общите принципи на правото на ЕС</w:t>
      </w:r>
      <w:r w:rsidRPr="007807CD">
        <w:rPr>
          <w:rFonts w:ascii="Times New Roman" w:hAnsi="Times New Roman"/>
          <w:b/>
          <w:bCs/>
          <w:spacing w:val="-4"/>
          <w:sz w:val="24"/>
          <w:szCs w:val="24"/>
          <w:vertAlign w:val="superscript"/>
        </w:rPr>
        <w:footnoteReference w:id="15"/>
      </w:r>
      <w:r w:rsidRPr="007807CD">
        <w:rPr>
          <w:rFonts w:ascii="Times New Roman" w:hAnsi="Times New Roman"/>
          <w:b/>
          <w:bCs/>
          <w:spacing w:val="-4"/>
          <w:sz w:val="24"/>
          <w:szCs w:val="24"/>
        </w:rPr>
        <w:t>, които не са закрепени в Договорите.</w:t>
      </w:r>
      <w:r w:rsidRPr="007807CD">
        <w:rPr>
          <w:rFonts w:ascii="Times New Roman" w:hAnsi="Times New Roman"/>
          <w:spacing w:val="-4"/>
          <w:sz w:val="24"/>
          <w:szCs w:val="24"/>
        </w:rPr>
        <w:t xml:space="preserve"> Изрично Договорите са предвидили например принципа на защита на правата на човека (чл. 6 ДЕС), принципа за недискриминация (чл. 18 ДЕС), принципите на субсидиарност</w:t>
      </w:r>
      <w:r w:rsidRPr="007807CD">
        <w:rPr>
          <w:rFonts w:ascii="Times New Roman" w:hAnsi="Times New Roman"/>
          <w:spacing w:val="-4"/>
          <w:sz w:val="24"/>
          <w:szCs w:val="24"/>
          <w:vertAlign w:val="superscript"/>
        </w:rPr>
        <w:footnoteReference w:id="16"/>
      </w:r>
      <w:r w:rsidRPr="007807CD">
        <w:rPr>
          <w:rFonts w:ascii="Times New Roman" w:hAnsi="Times New Roman"/>
          <w:spacing w:val="-4"/>
          <w:sz w:val="24"/>
          <w:szCs w:val="24"/>
        </w:rPr>
        <w:t xml:space="preserve"> (чл. 5, ал. 3 ДЕС) и пропорционалност (чл. 5, ал. 4 ДЕС) и др. Други, сред които принципът за защита на оправданите правни очаквания и принципът на правната сигурност</w:t>
      </w:r>
      <w:r w:rsidRPr="007807CD">
        <w:rPr>
          <w:rFonts w:ascii="Times New Roman" w:hAnsi="Times New Roman"/>
          <w:spacing w:val="-4"/>
          <w:sz w:val="24"/>
          <w:szCs w:val="24"/>
          <w:vertAlign w:val="superscript"/>
        </w:rPr>
        <w:footnoteReference w:id="17"/>
      </w:r>
      <w:r w:rsidRPr="007807CD">
        <w:rPr>
          <w:rFonts w:ascii="Times New Roman" w:hAnsi="Times New Roman"/>
          <w:spacing w:val="-4"/>
          <w:sz w:val="24"/>
          <w:szCs w:val="24"/>
        </w:rPr>
        <w:t xml:space="preserve"> се извеждат в практиката на СЕС. </w:t>
      </w:r>
      <w:r w:rsidRPr="007807CD">
        <w:rPr>
          <w:rFonts w:ascii="Times New Roman" w:hAnsi="Times New Roman"/>
          <w:b/>
          <w:bCs/>
          <w:spacing w:val="-4"/>
          <w:sz w:val="24"/>
          <w:szCs w:val="24"/>
        </w:rPr>
        <w:t>Основните принципи на правото на ЕС са:</w:t>
      </w:r>
      <w:r w:rsidRPr="007807CD">
        <w:rPr>
          <w:rFonts w:ascii="Times New Roman" w:hAnsi="Times New Roman"/>
          <w:spacing w:val="-4"/>
          <w:sz w:val="24"/>
          <w:szCs w:val="24"/>
        </w:rPr>
        <w:t xml:space="preserve"> пропорционалност; правна сигурност; оправдани правни очаквания; феърплей; принцип за полагане на дължима грижа; защита срещу произволни закони/регламенти; равно третиране; липса на дискриминация; право на неприкосновеност на личния живот; право на справедливо данъчно облагане; право на доверие; право на равно отношение и др. </w:t>
      </w:r>
      <w:r w:rsidRPr="007807CD">
        <w:rPr>
          <w:rFonts w:ascii="Times New Roman" w:hAnsi="Times New Roman"/>
          <w:b/>
          <w:bCs/>
          <w:spacing w:val="-4"/>
          <w:sz w:val="24"/>
          <w:szCs w:val="24"/>
        </w:rPr>
        <w:t>Основните права и общите принципи на правото на ЕС се защитават от СЕС</w:t>
      </w:r>
      <w:r w:rsidRPr="007807CD">
        <w:rPr>
          <w:rFonts w:ascii="Times New Roman" w:hAnsi="Times New Roman"/>
          <w:b/>
          <w:bCs/>
          <w:spacing w:val="-4"/>
          <w:sz w:val="24"/>
          <w:szCs w:val="24"/>
          <w:vertAlign w:val="superscript"/>
        </w:rPr>
        <w:footnoteReference w:id="18"/>
      </w:r>
      <w:r w:rsidRPr="007807CD">
        <w:rPr>
          <w:rFonts w:ascii="Times New Roman" w:hAnsi="Times New Roman"/>
          <w:b/>
          <w:bCs/>
          <w:spacing w:val="-2"/>
          <w:sz w:val="24"/>
          <w:szCs w:val="24"/>
        </w:rPr>
        <w:t>.</w:t>
      </w:r>
    </w:p>
    <w:p w:rsidR="005572BD" w:rsidRDefault="005572BD" w:rsidP="007807CD">
      <w:pPr>
        <w:tabs>
          <w:tab w:val="left" w:pos="7797"/>
        </w:tabs>
        <w:autoSpaceDE w:val="0"/>
        <w:autoSpaceDN w:val="0"/>
        <w:adjustRightInd w:val="0"/>
        <w:spacing w:line="360" w:lineRule="auto"/>
        <w:ind w:firstLine="283"/>
        <w:jc w:val="both"/>
        <w:textAlignment w:val="center"/>
        <w:rPr>
          <w:rFonts w:ascii="Times New Roman" w:hAnsi="Times New Roman"/>
          <w:sz w:val="24"/>
          <w:szCs w:val="24"/>
        </w:rPr>
      </w:pPr>
      <w:r w:rsidRPr="007807CD">
        <w:rPr>
          <w:rFonts w:ascii="Times New Roman" w:hAnsi="Times New Roman"/>
          <w:sz w:val="24"/>
          <w:szCs w:val="24"/>
        </w:rPr>
        <w:t>В член 52, параграф 5 Хартата прави разлика между „права“ и „принципи“. Това са два вида разпоредби в Хартата. Следва да се прави разлика между двата източника на основните права на ЕС: Хартата и общите принципи на Правото на ЕС. И двата вида разпоредби на Хартата са задължителни. „Когато става дума за принципи на ЕС, налага се да бъдат направени някои допълнителни терминологични уточнения. Нуждата от това произтича от обстоятелството, че често чрез сходни понятия се илюстрират съвсем различни правни феномени. Съществуват принципите за прилагане на правото на ЕС</w:t>
      </w:r>
      <w:r w:rsidRPr="007807CD">
        <w:rPr>
          <w:rFonts w:ascii="Times New Roman" w:hAnsi="Times New Roman"/>
          <w:sz w:val="24"/>
          <w:szCs w:val="24"/>
          <w:vertAlign w:val="superscript"/>
        </w:rPr>
        <w:footnoteReference w:id="19"/>
      </w:r>
      <w:r w:rsidRPr="007807CD">
        <w:rPr>
          <w:rFonts w:ascii="Times New Roman" w:hAnsi="Times New Roman"/>
          <w:sz w:val="24"/>
          <w:szCs w:val="24"/>
        </w:rPr>
        <w:t xml:space="preserve"> (ПЕС), които ограничават преди всичко общото функциониране на ПЕС и съотношението между него и правните системи на държавите членки. Такива са например принципът за директния ефект, принципът за примата и др. Но съществуват и други принципи на ПЕС, чиито съдържание и задачи са различни. Това са т.нар. общи принципи на ПЕС, специфична част от първичното право на Съюза. Объркването, което може да настъпи относно тези две самостоятелни едно от друго явления, лесно се илюстрира с кратък преглед на основните разпоредби, например Договора за Европейския съюз, в които се използва понятието „принцип“. Още в преамбюла му се споменават „принципът за субсидиарност“, „принципът за устойчиво развитие“, „принципът на правовата държава“ и др. По-надолу в чл. 5 се споменават „принципите на субсидиарност и на пропорционалност“, а в чл. 6, т. 3 се казва, че „Основните права, както са гарантирани от Европейската конвенция за защита на правата на човека и основните свободи и както произтичат от общите конституционни традиции на държавите членки, са част от правото на Съюза в качеството им на общи принципи“. Така разликата, произтичаща между двата вида принципи, не винаги става явна и остава общото усещане за смесването на различни понятия“. В статията си, колегата разглежда единствено общите принципи на правото на Европейския съюз – мястото, функциите и значението им</w:t>
      </w:r>
      <w:r w:rsidRPr="007807CD">
        <w:rPr>
          <w:rFonts w:ascii="Times New Roman" w:hAnsi="Times New Roman"/>
          <w:sz w:val="24"/>
          <w:szCs w:val="24"/>
          <w:vertAlign w:val="superscript"/>
        </w:rPr>
        <w:footnoteReference w:id="20"/>
      </w:r>
      <w:r w:rsidRPr="007807CD">
        <w:rPr>
          <w:rFonts w:ascii="Times New Roman" w:hAnsi="Times New Roman"/>
          <w:sz w:val="24"/>
          <w:szCs w:val="24"/>
        </w:rPr>
        <w:t>.</w:t>
      </w:r>
    </w:p>
    <w:p w:rsidR="005572BD" w:rsidRPr="007807CD" w:rsidRDefault="005572BD" w:rsidP="007807CD">
      <w:pPr>
        <w:tabs>
          <w:tab w:val="left" w:pos="7797"/>
        </w:tabs>
        <w:autoSpaceDE w:val="0"/>
        <w:autoSpaceDN w:val="0"/>
        <w:adjustRightInd w:val="0"/>
        <w:spacing w:line="360" w:lineRule="auto"/>
        <w:ind w:firstLine="283"/>
        <w:jc w:val="both"/>
        <w:textAlignment w:val="center"/>
        <w:rPr>
          <w:rFonts w:ascii="Times New Roman" w:hAnsi="Times New Roman"/>
          <w:b/>
          <w:bCs/>
          <w:sz w:val="24"/>
          <w:szCs w:val="24"/>
        </w:rPr>
      </w:pPr>
      <w:r w:rsidRPr="007807CD">
        <w:rPr>
          <w:rFonts w:ascii="Times New Roman" w:hAnsi="Times New Roman"/>
          <w:spacing w:val="2"/>
          <w:sz w:val="24"/>
          <w:szCs w:val="24"/>
        </w:rPr>
        <w:t xml:space="preserve"> </w:t>
      </w:r>
      <w:r w:rsidRPr="007807CD">
        <w:rPr>
          <w:rFonts w:ascii="Times New Roman" w:hAnsi="Times New Roman"/>
          <w:sz w:val="24"/>
          <w:szCs w:val="24"/>
        </w:rPr>
        <w:t>Напоследък прави впечатление, че говорим за всички тези принципи, но забравяме, че не са само цели и постулати. К</w:t>
      </w:r>
      <w:r w:rsidRPr="007807CD">
        <w:rPr>
          <w:rFonts w:ascii="Times New Roman" w:hAnsi="Times New Roman"/>
          <w:iCs/>
          <w:sz w:val="24"/>
          <w:szCs w:val="24"/>
        </w:rPr>
        <w:t>райно време е освен принципа за прякото действие на конституцията да усвоим и принципа за прякото действие на принципите.</w:t>
      </w:r>
      <w:r w:rsidRPr="007807CD">
        <w:rPr>
          <w:rFonts w:ascii="Times New Roman" w:hAnsi="Times New Roman"/>
          <w:sz w:val="24"/>
          <w:szCs w:val="24"/>
          <w:vertAlign w:val="superscript"/>
        </w:rPr>
        <w:footnoteReference w:id="21"/>
      </w:r>
    </w:p>
    <w:p w:rsidR="005572BD" w:rsidRPr="007807CD" w:rsidRDefault="005572BD" w:rsidP="007807CD">
      <w:pPr>
        <w:tabs>
          <w:tab w:val="left" w:pos="7797"/>
        </w:tabs>
        <w:autoSpaceDE w:val="0"/>
        <w:autoSpaceDN w:val="0"/>
        <w:adjustRightInd w:val="0"/>
        <w:spacing w:after="0" w:line="360" w:lineRule="auto"/>
        <w:ind w:firstLine="540"/>
        <w:jc w:val="both"/>
        <w:textAlignment w:val="center"/>
        <w:rPr>
          <w:rFonts w:ascii="Times New Roman" w:hAnsi="Times New Roman"/>
          <w:b/>
          <w:bCs/>
          <w:sz w:val="24"/>
          <w:szCs w:val="24"/>
        </w:rPr>
      </w:pPr>
      <w:r w:rsidRPr="007807CD">
        <w:rPr>
          <w:rFonts w:ascii="Times New Roman" w:hAnsi="Times New Roman"/>
          <w:spacing w:val="2"/>
          <w:sz w:val="24"/>
          <w:szCs w:val="24"/>
        </w:rPr>
        <w:t>В делата по български преюдициални запитвания в областта на ДДС, СЕС разглежда някои от основните принципи на правото на ЕС (виж например решение по дело C</w:t>
      </w:r>
      <w:r w:rsidRPr="007807CD">
        <w:rPr>
          <w:rFonts w:ascii="Times New Roman" w:hAnsi="Times New Roman"/>
          <w:spacing w:val="2"/>
          <w:sz w:val="24"/>
          <w:szCs w:val="24"/>
        </w:rPr>
        <w:noBreakHyphen/>
        <w:t>492/13 „Траум“ ЕООД</w:t>
      </w:r>
      <w:r w:rsidRPr="007807CD">
        <w:rPr>
          <w:rFonts w:ascii="Times New Roman" w:hAnsi="Times New Roman"/>
          <w:spacing w:val="2"/>
          <w:sz w:val="24"/>
          <w:szCs w:val="24"/>
          <w:vertAlign w:val="superscript"/>
        </w:rPr>
        <w:footnoteReference w:id="22"/>
      </w:r>
      <w:r w:rsidRPr="007807CD">
        <w:rPr>
          <w:rFonts w:ascii="Times New Roman" w:hAnsi="Times New Roman"/>
          <w:spacing w:val="2"/>
          <w:sz w:val="24"/>
          <w:szCs w:val="24"/>
        </w:rPr>
        <w:t>).</w:t>
      </w:r>
      <w:r w:rsidRPr="007807CD">
        <w:rPr>
          <w:rFonts w:ascii="Times New Roman" w:hAnsi="Times New Roman"/>
          <w:b/>
          <w:bCs/>
          <w:spacing w:val="2"/>
          <w:sz w:val="24"/>
          <w:szCs w:val="24"/>
        </w:rPr>
        <w:t xml:space="preserve"> </w:t>
      </w:r>
      <w:r w:rsidRPr="007807CD">
        <w:rPr>
          <w:rFonts w:ascii="Times New Roman" w:hAnsi="Times New Roman"/>
          <w:spacing w:val="2"/>
          <w:sz w:val="24"/>
          <w:szCs w:val="24"/>
        </w:rPr>
        <w:t>Принципите са крайъгълен камък и отправна точка при прилагането и тълкуването на правото на ЕС и националното законодателство (материалноправно и процесуалноправно) в областта на данъчното облагане от страна на: органите на държавна власт (Народното събрание в законотворческата му дейност); държавно управление (административни органи за приходите от данъци в държавния и общинските бюджети, които действат предимно при обвързана компетентност) при упражняване на правомощията им с оглед на тяхната компетентност; данъчнозадължените лица при упражняване на техните права и задължения, установени в националното материално и процесуалноправно данъчно законодателство, включително в правото на ЕС; органите на съдебната власт в областта на административното данъчно правосъдие, вкл. и при тълкувателната им дейност (доколкото се прилага добре известният принцип за процесуална автономия); и не на последно място – Конституционния съд.</w:t>
      </w:r>
      <w:r w:rsidRPr="007807CD">
        <w:rPr>
          <w:rFonts w:ascii="Times New Roman" w:hAnsi="Times New Roman"/>
          <w:b/>
          <w:bCs/>
          <w:sz w:val="24"/>
          <w:szCs w:val="24"/>
        </w:rPr>
        <w:t xml:space="preserve"> </w:t>
      </w:r>
    </w:p>
    <w:p w:rsidR="005572BD" w:rsidRPr="007807CD" w:rsidRDefault="005572BD" w:rsidP="007807CD">
      <w:pPr>
        <w:tabs>
          <w:tab w:val="left" w:pos="7797"/>
        </w:tabs>
        <w:autoSpaceDE w:val="0"/>
        <w:autoSpaceDN w:val="0"/>
        <w:adjustRightInd w:val="0"/>
        <w:spacing w:after="0" w:line="360" w:lineRule="auto"/>
        <w:ind w:firstLine="540"/>
        <w:jc w:val="both"/>
        <w:textAlignment w:val="center"/>
        <w:rPr>
          <w:rFonts w:ascii="Times New Roman" w:hAnsi="Times New Roman"/>
          <w:sz w:val="24"/>
          <w:szCs w:val="24"/>
        </w:rPr>
      </w:pPr>
      <w:r w:rsidRPr="007807CD">
        <w:rPr>
          <w:rFonts w:ascii="Times New Roman" w:hAnsi="Times New Roman"/>
          <w:sz w:val="24"/>
          <w:szCs w:val="24"/>
        </w:rPr>
        <w:t>Представителите на чуждестранната данъчноправна доктрина например споделят, че:</w:t>
      </w:r>
      <w:r w:rsidRPr="007807CD">
        <w:rPr>
          <w:rFonts w:ascii="Times New Roman" w:hAnsi="Times New Roman"/>
          <w:i/>
          <w:iCs/>
          <w:sz w:val="24"/>
          <w:szCs w:val="24"/>
        </w:rPr>
        <w:t xml:space="preserve"> </w:t>
      </w:r>
      <w:r w:rsidRPr="007807CD">
        <w:rPr>
          <w:rFonts w:ascii="Times New Roman" w:hAnsi="Times New Roman"/>
          <w:sz w:val="24"/>
          <w:szCs w:val="24"/>
        </w:rPr>
        <w:t>„Основните права на данъкоплатците вече не е въпрос, който се адресира единствено на нивото на националните конституции на държавите членки на ЕС, а по-скоро сфера, в която държавите членки следва да гарантират защита, която съответства с общоприетите стандарти на ниво Съюз. [...] На първо място, въздействието от защитата на човешките права при въпроси от данъчно естество изисква разясняване на въпросите, засягащи защитата на правата на човека по силата на общото право на ЕС. Както бе посочено по-рано, значителна стъпка в еволюцията на правото на Съюза за защита на правата на човека може да бъде отчетена единствено с влизането в сила на Договора от Лисабон на 1.12.2009, който придава обвързваща сила на Хартата на основните права на Европейския съюз и предоставя мандат на Комисията на ЕС да извърши преговорите за присъединяване на Съюза към Европейската конвенция за защита на правата на човека без да променя разпределението на компетенции между държавите членки.</w:t>
      </w:r>
    </w:p>
    <w:p w:rsidR="005572BD" w:rsidRPr="007807CD" w:rsidRDefault="005572BD" w:rsidP="007807CD">
      <w:pPr>
        <w:tabs>
          <w:tab w:val="left" w:pos="7797"/>
        </w:tabs>
        <w:autoSpaceDE w:val="0"/>
        <w:autoSpaceDN w:val="0"/>
        <w:adjustRightInd w:val="0"/>
        <w:spacing w:after="0" w:line="360" w:lineRule="auto"/>
        <w:ind w:firstLine="540"/>
        <w:jc w:val="both"/>
        <w:textAlignment w:val="center"/>
        <w:rPr>
          <w:rFonts w:ascii="Times New Roman" w:hAnsi="Times New Roman"/>
          <w:spacing w:val="-2"/>
          <w:sz w:val="24"/>
          <w:szCs w:val="24"/>
        </w:rPr>
      </w:pPr>
      <w:r w:rsidRPr="007807CD">
        <w:rPr>
          <w:rFonts w:ascii="Times New Roman" w:hAnsi="Times New Roman"/>
          <w:sz w:val="24"/>
          <w:szCs w:val="24"/>
        </w:rPr>
        <w:t>Въпреки това, дългата и сложна история на защитата на основните права по силата на европейското право започва много преди този момент и поставя някои интересни полемики що се отнася до връзките му с правата на човека и основните права, както и със защитата на правата на човека и основните права, получавана в конституционната рамка на защита от отделните държави членки. По-конкретно последният въпрос предоставя стимул за инкорпорирането на национални основни принципи на държавите членки в пра</w:t>
      </w:r>
      <w:r w:rsidRPr="007807CD">
        <w:rPr>
          <w:rFonts w:ascii="Times New Roman" w:hAnsi="Times New Roman"/>
          <w:spacing w:val="-2"/>
          <w:sz w:val="24"/>
          <w:szCs w:val="24"/>
        </w:rPr>
        <w:t xml:space="preserve">ктиката на Европейския съд (ECJ) от началото на седемдесетте години, когато решението на съда по дело </w:t>
      </w:r>
      <w:r w:rsidRPr="007807CD">
        <w:rPr>
          <w:rFonts w:ascii="Times New Roman" w:hAnsi="Times New Roman"/>
          <w:i/>
          <w:iCs/>
          <w:spacing w:val="-2"/>
          <w:sz w:val="24"/>
          <w:szCs w:val="24"/>
        </w:rPr>
        <w:t>Internationale Handelsgesellschaft</w:t>
      </w:r>
      <w:r w:rsidRPr="007807CD">
        <w:rPr>
          <w:rFonts w:ascii="Times New Roman" w:hAnsi="Times New Roman"/>
          <w:spacing w:val="-2"/>
          <w:sz w:val="24"/>
          <w:szCs w:val="24"/>
        </w:rPr>
        <w:t xml:space="preserve"> поставя основата за хомогенни европейски стандарти на правна защита посредством общи принципи на наднационално ниво, които произтичат от заложените в националните конституции. Развитието на ядрото от основни права в рамките на правото на Съюза може да се разглежда като явление, което се разгръща успоредно с реакцията на държавите членки спрямо абсолютното върховенство на правото на Съюза над националните конституции, които считат, че основните принципи на техните конституции не са обект на преимуществото на правото на Съюза“</w:t>
      </w:r>
      <w:r w:rsidRPr="007807CD">
        <w:rPr>
          <w:rFonts w:ascii="Times New Roman" w:hAnsi="Times New Roman"/>
          <w:spacing w:val="-2"/>
          <w:sz w:val="24"/>
          <w:szCs w:val="24"/>
          <w:vertAlign w:val="superscript"/>
        </w:rPr>
        <w:footnoteReference w:id="23"/>
      </w:r>
      <w:r w:rsidRPr="007807CD">
        <w:rPr>
          <w:rFonts w:ascii="Times New Roman" w:hAnsi="Times New Roman"/>
          <w:spacing w:val="-2"/>
          <w:sz w:val="24"/>
          <w:szCs w:val="24"/>
        </w:rPr>
        <w:t>.</w:t>
      </w:r>
    </w:p>
    <w:p w:rsidR="005572BD" w:rsidRPr="007807CD" w:rsidRDefault="005572BD" w:rsidP="007807CD">
      <w:pPr>
        <w:spacing w:after="0" w:line="360" w:lineRule="auto"/>
        <w:ind w:firstLine="540"/>
        <w:jc w:val="both"/>
        <w:rPr>
          <w:rFonts w:ascii="Times New Roman" w:hAnsi="Times New Roman"/>
          <w:sz w:val="24"/>
          <w:szCs w:val="24"/>
          <w:lang w:eastAsia="bg-BG"/>
        </w:rPr>
      </w:pPr>
      <w:r w:rsidRPr="007807CD">
        <w:rPr>
          <w:rFonts w:ascii="Times New Roman" w:hAnsi="Times New Roman"/>
          <w:sz w:val="24"/>
          <w:szCs w:val="24"/>
        </w:rPr>
        <w:t xml:space="preserve">Националният съдия признава по-ефикасната защита на Хартата. </w:t>
      </w:r>
      <w:r w:rsidRPr="007807CD">
        <w:rPr>
          <w:rFonts w:ascii="Times New Roman" w:hAnsi="Times New Roman"/>
          <w:b/>
          <w:sz w:val="24"/>
          <w:szCs w:val="24"/>
        </w:rPr>
        <w:t xml:space="preserve">В Решение № 5338 от </w:t>
      </w:r>
      <w:r w:rsidRPr="007807CD">
        <w:rPr>
          <w:rFonts w:ascii="Times New Roman" w:hAnsi="Times New Roman"/>
          <w:b/>
          <w:bCs/>
          <w:sz w:val="24"/>
          <w:szCs w:val="24"/>
          <w:bdr w:val="none" w:sz="0" w:space="0" w:color="auto" w:frame="1"/>
        </w:rPr>
        <w:t xml:space="preserve">27.04.2017 по адм. дело </w:t>
      </w:r>
      <w:r w:rsidRPr="007807CD">
        <w:rPr>
          <w:rFonts w:ascii="Times New Roman" w:hAnsi="Times New Roman"/>
          <w:b/>
          <w:sz w:val="24"/>
          <w:szCs w:val="24"/>
          <w:bdr w:val="none" w:sz="0" w:space="0" w:color="auto" w:frame="1"/>
        </w:rPr>
        <w:t xml:space="preserve">№ 12832/2016 на ВАС, </w:t>
      </w:r>
      <w:r w:rsidRPr="007807CD">
        <w:rPr>
          <w:rFonts w:ascii="Times New Roman" w:hAnsi="Times New Roman"/>
          <w:b/>
          <w:bCs/>
          <w:sz w:val="24"/>
          <w:szCs w:val="24"/>
          <w:bdr w:val="none" w:sz="0" w:space="0" w:color="auto" w:frame="1"/>
          <w:shd w:val="clear" w:color="auto" w:fill="FFFFFF"/>
        </w:rPr>
        <w:t>Седмо отделение, с докладчик съдия Весела Андова</w:t>
      </w:r>
      <w:r w:rsidRPr="007807CD">
        <w:rPr>
          <w:rFonts w:ascii="Times New Roman" w:hAnsi="Times New Roman"/>
          <w:bCs/>
          <w:sz w:val="24"/>
          <w:szCs w:val="24"/>
          <w:bdr w:val="none" w:sz="0" w:space="0" w:color="auto" w:frame="1"/>
          <w:shd w:val="clear" w:color="auto" w:fill="FFFFFF"/>
        </w:rPr>
        <w:t xml:space="preserve"> се посочва: </w:t>
      </w:r>
      <w:r w:rsidRPr="007807CD">
        <w:rPr>
          <w:rFonts w:ascii="Times New Roman" w:hAnsi="Times New Roman"/>
          <w:sz w:val="24"/>
          <w:szCs w:val="24"/>
        </w:rPr>
        <w:t>„Защитата, която правото на Съюза гарантира на жалбоподателя, е не само идентична по обхват с правото на защита, което му гарантира Конвенцията за защита на правата на човека и основните свободи, но е и много по-ефикасна, защото не поставя допустимостта и обхвата на защитата пред съда (националния и Съда по правата на човека) в зависимост от преценката на съда на характера на нарушеното право като гражданско, а задължава националния съд да осигури адекватна на чл. 47 от Хартата защита на твърдяното право. Националният съдия, като задължен да прилага в пълнота правото на Европейския съюз, е длъжен да осигури на жалбоподателя гарантираната му от правото на Съюза защита в необходимия обем.“</w:t>
      </w:r>
    </w:p>
    <w:p w:rsidR="005572BD" w:rsidRPr="007807CD" w:rsidRDefault="005572BD" w:rsidP="007807CD">
      <w:pPr>
        <w:spacing w:after="0" w:line="360" w:lineRule="auto"/>
        <w:ind w:firstLine="540"/>
        <w:jc w:val="both"/>
        <w:rPr>
          <w:rFonts w:ascii="Times New Roman" w:hAnsi="Times New Roman"/>
          <w:sz w:val="24"/>
          <w:szCs w:val="24"/>
          <w:bdr w:val="none" w:sz="0" w:space="0" w:color="auto" w:frame="1"/>
          <w:shd w:val="clear" w:color="auto" w:fill="FFFFFF"/>
        </w:rPr>
      </w:pPr>
      <w:r w:rsidRPr="007807CD">
        <w:rPr>
          <w:rFonts w:ascii="Times New Roman" w:hAnsi="Times New Roman"/>
          <w:sz w:val="24"/>
          <w:szCs w:val="24"/>
          <w:lang w:eastAsia="bg-BG"/>
        </w:rPr>
        <w:t>Прави впечатление, че националният съдия умело прилага Хартата в практиката, особено в казусите, свързани с бежанците. Например, по отношение на правото на з</w:t>
      </w:r>
      <w:r w:rsidRPr="007807CD">
        <w:rPr>
          <w:rFonts w:ascii="Times New Roman" w:hAnsi="Times New Roman"/>
          <w:sz w:val="24"/>
          <w:szCs w:val="24"/>
        </w:rPr>
        <w:t xml:space="preserve">ачитане на личния и семейния живот по чл. 7, в </w:t>
      </w:r>
      <w:r w:rsidRPr="007807CD">
        <w:rPr>
          <w:rFonts w:ascii="Times New Roman" w:hAnsi="Times New Roman"/>
          <w:bCs/>
          <w:sz w:val="24"/>
          <w:szCs w:val="24"/>
        </w:rPr>
        <w:t xml:space="preserve">Решение № </w:t>
      </w:r>
      <w:r w:rsidRPr="007807CD">
        <w:rPr>
          <w:rFonts w:ascii="Times New Roman" w:hAnsi="Times New Roman"/>
          <w:bCs/>
          <w:sz w:val="24"/>
          <w:szCs w:val="24"/>
          <w:bdr w:val="none" w:sz="0" w:space="0" w:color="auto" w:frame="1"/>
        </w:rPr>
        <w:t>14741 от 04.12.2017 г. по адм. дело № 4636/2017 на ВАС, Трето отделение, с докладчик съдия Искра Александрова, се посочва</w:t>
      </w:r>
      <w:r w:rsidRPr="007807CD">
        <w:rPr>
          <w:rFonts w:ascii="Times New Roman" w:hAnsi="Times New Roman"/>
          <w:bCs/>
          <w:sz w:val="24"/>
          <w:szCs w:val="24"/>
        </w:rPr>
        <w:t>: „</w:t>
      </w:r>
      <w:r w:rsidRPr="007807CD">
        <w:rPr>
          <w:rFonts w:ascii="Times New Roman" w:hAnsi="Times New Roman"/>
          <w:bCs/>
          <w:sz w:val="24"/>
          <w:szCs w:val="24"/>
          <w:bdr w:val="none" w:sz="0" w:space="0" w:color="auto" w:frame="1"/>
          <w:shd w:val="clear" w:color="auto" w:fill="FFFFFF"/>
        </w:rPr>
        <w:t>Това не означава обаче, ч</w:t>
      </w:r>
      <w:r w:rsidRPr="007807CD">
        <w:rPr>
          <w:rFonts w:ascii="Times New Roman" w:hAnsi="Times New Roman"/>
          <w:sz w:val="24"/>
          <w:szCs w:val="24"/>
          <w:bdr w:val="none" w:sz="0" w:space="0" w:color="auto" w:frame="1"/>
          <w:shd w:val="clear" w:color="auto" w:fill="FFFFFF"/>
        </w:rPr>
        <w:t xml:space="preserve">е административният орган не следва да извърши преценка за наличието или не на „семеен живот“ между майката и сина съобразно съдържанието на това понятие, изведено в практиката на Европейския съд по правата на човека при тълкуването на чл. 8 от Европейската конвенция за защита правата на човека и основните свободи. Предоставянето на международна закрила е в приложното поле на правото на ЕС, поради което и на осн. чл. 51, параграф 1 от Хартата на основните права на ЕС /наричана за краткост по-долу Хартата/, разпоредбите от нея следва да се прилагат от държавите-членки, чрез съответните компетентни публични органи при преценка на молбите за предоставяне на такава международна закрила. Член 7 от Хартата гарантира правото на зачитане на личния и семейния живот на лицата, както и на жилището и тайната на съобщенията. Още в преамбюла на Хартата е посочено, че тя потвърждава отново правата, които произтичат от общите за държавите-членки конституционни традиции и международни задължения, както и от ЕКЗПЧ. Също така в преамбюла е записано, че при тълкуването на разпоредбите от Хартата ще се вземат предвид и разясненията, установени под ръководството на президиума на Конвента В разяснението на чл. 7 от посочените разяснения е записано, че правата, гарантирани в чл.7, съответстват на правата, гарантирани от чл. 8 от ЕКПЧ, както и че в съответствие с чл. 52, параграф 3 това право има същия смисъл и обхват, както съответния член на ЕКПЧ. В понятието „семеен живот“ в чл. 8 от ЕКПЧ, ЕСПЧ влага съдържание, което може и да не съответства на съдържанието на това понятие от националното право. </w:t>
      </w:r>
    </w:p>
    <w:p w:rsidR="005572BD" w:rsidRPr="007807CD" w:rsidRDefault="005572BD" w:rsidP="007807CD">
      <w:pPr>
        <w:spacing w:after="0" w:line="360" w:lineRule="auto"/>
        <w:ind w:firstLine="540"/>
        <w:jc w:val="both"/>
        <w:rPr>
          <w:rFonts w:ascii="Times New Roman" w:hAnsi="Times New Roman"/>
          <w:sz w:val="24"/>
          <w:szCs w:val="24"/>
          <w:bdr w:val="none" w:sz="0" w:space="0" w:color="auto" w:frame="1"/>
          <w:shd w:val="clear" w:color="auto" w:fill="FFFFFF"/>
        </w:rPr>
      </w:pPr>
      <w:r w:rsidRPr="007807CD">
        <w:rPr>
          <w:rFonts w:ascii="Times New Roman" w:hAnsi="Times New Roman"/>
          <w:sz w:val="24"/>
          <w:szCs w:val="24"/>
          <w:bdr w:val="none" w:sz="0" w:space="0" w:color="auto" w:frame="1"/>
          <w:shd w:val="clear" w:color="auto" w:fill="FFFFFF"/>
        </w:rPr>
        <w:t xml:space="preserve">Според практиката на ЕСПЧ от значение за наличието или не на „семеен живот“ по смисъла на чл. 8 ЕКПЧ са фактическите взаимоотношения между лицата. Своето становище по този въпрос ЕСПЧ е изразил и в решението по делото Ал-Нашиф срещу България, в което е посочил „Наличието или липсата на „семеен живот“ е основно фактически въпрос, който зависи от реалното осъществяване на близки лични връзки.“ В решението по делото „Маркс“, ЕСПЧ приема, че „семеен живот“ по смисъла на чл. 8 „...включва най-малкото връзките между близки роднини...“. В конкретния случай, биологичната връзка между Ю. С. Ю. и неговата майка А. С. М. А. не се оспорва. Административният орган е следвало да прецени въз основа на информацията, с която е разполагал, дали между тези лица има действителна семейна ситуация. Релевантното обстоятелство по този въпрос е наличието на тясна фактическа връзка между лицата, която може да се установи чрез преценка за наличието или не на финансова зависимост един от друг, наличието или не на обективната и субективна подкрепа помежду им и др. В поредица свои решения, вкл. и такива срещу България /пр. Манчева срещу България/ ЕСПЧ посочва „...ако основната цел на чл. 8 е да предпази личността от произволно вмешателство от страна на публичните органи, то той не се ограничава единствено с това да разпореди на държавата да се въздържа от подобно вмешателство: към този по-скоро отрицателен ангажимент могат да се добавят положителни задължения, присъщи на ефективната неприкосновеност на личния и семейния живот...“. </w:t>
      </w:r>
    </w:p>
    <w:p w:rsidR="005572BD" w:rsidRPr="007807CD" w:rsidRDefault="005572BD" w:rsidP="007807CD">
      <w:pPr>
        <w:spacing w:after="0" w:line="360" w:lineRule="auto"/>
        <w:ind w:firstLine="540"/>
        <w:jc w:val="both"/>
        <w:rPr>
          <w:rFonts w:ascii="Times New Roman" w:hAnsi="Times New Roman"/>
          <w:sz w:val="24"/>
          <w:szCs w:val="24"/>
          <w:lang w:eastAsia="bg-BG"/>
        </w:rPr>
      </w:pPr>
      <w:r w:rsidRPr="007807CD">
        <w:rPr>
          <w:rFonts w:ascii="Times New Roman" w:hAnsi="Times New Roman"/>
          <w:sz w:val="24"/>
          <w:szCs w:val="24"/>
          <w:bdr w:val="none" w:sz="0" w:space="0" w:color="auto" w:frame="1"/>
          <w:shd w:val="clear" w:color="auto" w:fill="FFFFFF"/>
        </w:rPr>
        <w:t>В контекста на посоченото по-горе от практиката на ЕСПЧ и с оглед обстоятелството, че майката на чужденеца е с предоставен бежански статут по силата на решение № 11007/04.11.16 г. на ДАБ при МС (лист 94 от делото), административният орган, ако установи де факто „семеен живот“ между чужденеца и неговата майка, и ако не са налице изключенията на чл. 8, параграф 2 ЕКПЧ, както и ако стигне до извода, че не са налице основанията за предоставяне на бежански статут, както и на основанията по чл. 9, ал. 1 ЗУБ, следва да обсъди наличието на семейна връзка между чужденеца и неговата майка от гледна точка на хипотезата, предвидена в чл. 9, ал. 8 ЗУБ.“</w:t>
      </w:r>
    </w:p>
    <w:p w:rsidR="005572BD" w:rsidRPr="007807CD" w:rsidRDefault="005572BD" w:rsidP="007807CD">
      <w:pPr>
        <w:spacing w:after="0" w:line="360" w:lineRule="auto"/>
        <w:ind w:firstLine="540"/>
        <w:jc w:val="both"/>
        <w:rPr>
          <w:rFonts w:ascii="Times New Roman" w:hAnsi="Times New Roman"/>
          <w:sz w:val="24"/>
          <w:szCs w:val="24"/>
          <w:bdr w:val="none" w:sz="0" w:space="0" w:color="auto" w:frame="1"/>
          <w:shd w:val="clear" w:color="auto" w:fill="FFFFFF"/>
        </w:rPr>
      </w:pPr>
      <w:r w:rsidRPr="007807CD">
        <w:rPr>
          <w:rFonts w:ascii="Times New Roman" w:hAnsi="Times New Roman"/>
          <w:sz w:val="24"/>
          <w:szCs w:val="24"/>
          <w:bdr w:val="none" w:sz="0" w:space="0" w:color="auto" w:frame="1"/>
          <w:shd w:val="clear" w:color="auto" w:fill="FFFFFF"/>
        </w:rPr>
        <w:t>От направения анализ на практиката на ВАС на Република България може да бъде направен извод, че националният съдия подхожда все още предпазливо при прилагането на Хартата, т.е. няма много практика. Прави впечатление, че в области, в които традиционно тя намира директно приложение, с оглед прилагането на правото на ЕС в областта на данъка върху добавената стойност и митата (част от собствените ресурси за приходната част на бюджета на ЕС</w:t>
      </w:r>
      <w:r w:rsidRPr="007807CD">
        <w:rPr>
          <w:rStyle w:val="FootnoteReference"/>
          <w:rFonts w:ascii="Times New Roman" w:hAnsi="Times New Roman"/>
          <w:sz w:val="24"/>
          <w:szCs w:val="24"/>
          <w:bdr w:val="none" w:sz="0" w:space="0" w:color="auto" w:frame="1"/>
          <w:shd w:val="clear" w:color="auto" w:fill="FFFFFF"/>
        </w:rPr>
        <w:footnoteReference w:id="24"/>
      </w:r>
      <w:r w:rsidRPr="007807CD">
        <w:rPr>
          <w:rFonts w:ascii="Times New Roman" w:hAnsi="Times New Roman"/>
          <w:sz w:val="24"/>
          <w:szCs w:val="24"/>
          <w:bdr w:val="none" w:sz="0" w:space="0" w:color="auto" w:frame="1"/>
          <w:shd w:val="clear" w:color="auto" w:fill="FFFFFF"/>
        </w:rPr>
        <w:t xml:space="preserve">), тя почти не се среща в мотивите на съдебните решения. </w:t>
      </w:r>
    </w:p>
    <w:p w:rsidR="005572BD" w:rsidRPr="007807CD" w:rsidRDefault="005572BD" w:rsidP="007807CD">
      <w:pPr>
        <w:spacing w:after="0" w:line="360" w:lineRule="auto"/>
        <w:ind w:firstLine="540"/>
        <w:jc w:val="both"/>
        <w:rPr>
          <w:rFonts w:ascii="Times New Roman" w:hAnsi="Times New Roman"/>
          <w:sz w:val="24"/>
          <w:szCs w:val="24"/>
          <w:bdr w:val="none" w:sz="0" w:space="0" w:color="auto" w:frame="1"/>
          <w:shd w:val="clear" w:color="auto" w:fill="FFFFFF"/>
        </w:rPr>
      </w:pPr>
      <w:r w:rsidRPr="007807CD">
        <w:rPr>
          <w:rFonts w:ascii="Times New Roman" w:hAnsi="Times New Roman"/>
          <w:sz w:val="24"/>
          <w:szCs w:val="24"/>
          <w:bdr w:val="none" w:sz="0" w:space="0" w:color="auto" w:frame="1"/>
          <w:shd w:val="clear" w:color="auto" w:fill="FFFFFF"/>
        </w:rPr>
        <w:t>Обратното, в случаите на казуси, свързани с разходната част на бюджета на ЕС, респективно националния бюджет (управление на средствата от фондовете по общата селскостопанска и кохезионна политика на ЕС), закона за управление на средствата от европейските структурни и инвестиционни фондове и закона за подпомагане на земеделските производители, националният съдия прилага Хартата.</w:t>
      </w:r>
    </w:p>
    <w:p w:rsidR="005572BD" w:rsidRPr="007807CD" w:rsidRDefault="005572BD" w:rsidP="007807CD">
      <w:pPr>
        <w:spacing w:after="0" w:line="360" w:lineRule="auto"/>
        <w:ind w:firstLine="540"/>
        <w:jc w:val="both"/>
        <w:rPr>
          <w:rFonts w:ascii="Times New Roman" w:hAnsi="Times New Roman"/>
          <w:sz w:val="24"/>
          <w:szCs w:val="24"/>
          <w:lang w:eastAsia="bg-BG"/>
        </w:rPr>
      </w:pPr>
      <w:r w:rsidRPr="007807CD">
        <w:rPr>
          <w:rFonts w:ascii="Times New Roman" w:hAnsi="Times New Roman"/>
          <w:sz w:val="24"/>
          <w:szCs w:val="24"/>
          <w:bdr w:val="none" w:sz="0" w:space="0" w:color="auto" w:frame="1"/>
          <w:shd w:val="clear" w:color="auto" w:fill="FFFFFF"/>
        </w:rPr>
        <w:t>Това е странно, тъй като има финансов регламент, установяваш общи принципи за управление както на приходната, така и на разходната част на бюджета на ЕС</w:t>
      </w:r>
      <w:r w:rsidRPr="007807CD">
        <w:rPr>
          <w:rStyle w:val="FootnoteReference"/>
          <w:rFonts w:ascii="Times New Roman" w:hAnsi="Times New Roman"/>
          <w:sz w:val="24"/>
          <w:szCs w:val="24"/>
          <w:bdr w:val="none" w:sz="0" w:space="0" w:color="auto" w:frame="1"/>
          <w:shd w:val="clear" w:color="auto" w:fill="FFFFFF"/>
        </w:rPr>
        <w:footnoteReference w:id="25"/>
      </w:r>
      <w:r w:rsidRPr="007807CD">
        <w:rPr>
          <w:rFonts w:ascii="Times New Roman" w:hAnsi="Times New Roman"/>
          <w:sz w:val="24"/>
          <w:szCs w:val="24"/>
          <w:bdr w:val="none" w:sz="0" w:space="0" w:color="auto" w:frame="1"/>
          <w:shd w:val="clear" w:color="auto" w:fill="FFFFFF"/>
        </w:rPr>
        <w:t xml:space="preserve">, а именно: </w:t>
      </w:r>
      <w:r w:rsidRPr="007807CD">
        <w:rPr>
          <w:rFonts w:ascii="Times New Roman" w:hAnsi="Times New Roman"/>
          <w:sz w:val="24"/>
          <w:szCs w:val="24"/>
          <w:shd w:val="clear" w:color="auto" w:fill="FFFFFF"/>
        </w:rPr>
        <w:t>Регламент (ЕС, Евратом)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w:t>
      </w:r>
      <w:r w:rsidRPr="007807CD">
        <w:rPr>
          <w:rStyle w:val="FootnoteReference"/>
          <w:rFonts w:ascii="Times New Roman" w:hAnsi="Times New Roman"/>
          <w:sz w:val="24"/>
          <w:szCs w:val="24"/>
          <w:shd w:val="clear" w:color="auto" w:fill="FFFFFF"/>
        </w:rPr>
        <w:footnoteReference w:id="26"/>
      </w:r>
      <w:r w:rsidRPr="007807CD">
        <w:rPr>
          <w:rFonts w:ascii="Times New Roman" w:hAnsi="Times New Roman"/>
          <w:sz w:val="24"/>
          <w:szCs w:val="24"/>
          <w:bdr w:val="none" w:sz="0" w:space="0" w:color="auto" w:frame="1"/>
          <w:shd w:val="clear" w:color="auto" w:fill="FFFFFF"/>
        </w:rPr>
        <w:t xml:space="preserve"> Безспорно, националният съдия, особено съдия от ВАС Искра Александрова, при делата, свързани с бежанци, прилага Хартата.</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По отношение на практически въпроси на прилагането на Хартата в държавите членки в контекста на съдебната практика на СЕС има редица решения на СЕС, като: Решение от 23 октомври 2008 г., C-274/05, ECLI:EU:C:2008:585; Решение от 27 март 2014 г., </w:t>
      </w:r>
      <w:r w:rsidRPr="007807CD">
        <w:rPr>
          <w:rFonts w:ascii="Times New Roman" w:hAnsi="Times New Roman"/>
          <w:bCs/>
          <w:sz w:val="24"/>
          <w:szCs w:val="24"/>
        </w:rPr>
        <w:t xml:space="preserve">Emiliano Torralbo Marcos, </w:t>
      </w:r>
      <w:r w:rsidRPr="007807CD">
        <w:rPr>
          <w:rFonts w:ascii="Times New Roman" w:hAnsi="Times New Roman"/>
          <w:sz w:val="24"/>
          <w:szCs w:val="24"/>
        </w:rPr>
        <w:t>C</w:t>
      </w:r>
      <w:r w:rsidRPr="007807CD">
        <w:rPr>
          <w:rFonts w:ascii="Times New Roman" w:hAnsi="Times New Roman"/>
          <w:sz w:val="24"/>
          <w:szCs w:val="24"/>
        </w:rPr>
        <w:noBreakHyphen/>
        <w:t xml:space="preserve">265/13, ECLI:EU:C:2014:187; </w:t>
      </w:r>
      <w:hyperlink r:id="rId7" w:history="1"/>
      <w:r w:rsidRPr="007807CD">
        <w:rPr>
          <w:rFonts w:ascii="Times New Roman" w:hAnsi="Times New Roman"/>
          <w:sz w:val="24"/>
          <w:szCs w:val="24"/>
        </w:rPr>
        <w:t>Решение от 24 октомври 2019 г., C</w:t>
      </w:r>
      <w:r w:rsidRPr="007807CD">
        <w:rPr>
          <w:rFonts w:ascii="Times New Roman" w:hAnsi="Times New Roman"/>
          <w:sz w:val="24"/>
          <w:szCs w:val="24"/>
        </w:rPr>
        <w:noBreakHyphen/>
        <w:t>469/18 и C</w:t>
      </w:r>
      <w:r w:rsidRPr="007807CD">
        <w:rPr>
          <w:rFonts w:ascii="Times New Roman" w:hAnsi="Times New Roman"/>
          <w:sz w:val="24"/>
          <w:szCs w:val="24"/>
        </w:rPr>
        <w:noBreakHyphen/>
        <w:t xml:space="preserve">470/18, ECLI:EU:C:2019:895; Решение от 16 май 2017 г., </w:t>
      </w:r>
      <w:r w:rsidRPr="007807CD">
        <w:rPr>
          <w:rFonts w:ascii="Times New Roman" w:hAnsi="Times New Roman"/>
          <w:bCs/>
          <w:sz w:val="24"/>
          <w:szCs w:val="24"/>
        </w:rPr>
        <w:t xml:space="preserve">Berlioz Investment Fund SA, </w:t>
      </w:r>
      <w:r w:rsidRPr="007807CD">
        <w:rPr>
          <w:rFonts w:ascii="Times New Roman" w:hAnsi="Times New Roman"/>
          <w:sz w:val="24"/>
          <w:szCs w:val="24"/>
        </w:rPr>
        <w:t>C</w:t>
      </w:r>
      <w:r w:rsidRPr="007807CD">
        <w:rPr>
          <w:rFonts w:ascii="Times New Roman" w:hAnsi="Times New Roman"/>
          <w:sz w:val="24"/>
          <w:szCs w:val="24"/>
        </w:rPr>
        <w:noBreakHyphen/>
        <w:t>682/15, ECLI:EU:C:2017:373; Решение от 17 юли 2014 г., Juan Carlos Sánchez Morcillo, María del Carmen Abril García, C</w:t>
      </w:r>
      <w:r w:rsidRPr="007807CD">
        <w:rPr>
          <w:rFonts w:ascii="Times New Roman" w:hAnsi="Times New Roman"/>
          <w:sz w:val="24"/>
          <w:szCs w:val="24"/>
        </w:rPr>
        <w:noBreakHyphen/>
        <w:t xml:space="preserve">169/14, ECLI:EU:C:2014:2099; Решение от 27 септември 2017 г., </w:t>
      </w:r>
      <w:r w:rsidRPr="007807CD">
        <w:rPr>
          <w:rFonts w:ascii="Times New Roman" w:hAnsi="Times New Roman"/>
          <w:bCs/>
          <w:sz w:val="24"/>
          <w:szCs w:val="24"/>
        </w:rPr>
        <w:t xml:space="preserve">Peter Puškár, </w:t>
      </w:r>
      <w:r w:rsidRPr="007807CD">
        <w:rPr>
          <w:rFonts w:ascii="Times New Roman" w:hAnsi="Times New Roman"/>
          <w:sz w:val="24"/>
          <w:szCs w:val="24"/>
        </w:rPr>
        <w:t>C</w:t>
      </w:r>
      <w:r w:rsidRPr="007807CD">
        <w:rPr>
          <w:rFonts w:ascii="Times New Roman" w:hAnsi="Times New Roman"/>
          <w:sz w:val="24"/>
          <w:szCs w:val="24"/>
        </w:rPr>
        <w:noBreakHyphen/>
        <w:t>73/16, ECLI:EU:C:2017:725; Решение от 24 октомври 2018 г., C</w:t>
      </w:r>
      <w:r w:rsidRPr="007807CD">
        <w:rPr>
          <w:rFonts w:ascii="Times New Roman" w:hAnsi="Times New Roman"/>
          <w:sz w:val="24"/>
          <w:szCs w:val="24"/>
        </w:rPr>
        <w:noBreakHyphen/>
        <w:t>234/17, ECLI:EU:C:2018:853; Решение от 17 януари 2019 г., C</w:t>
      </w:r>
      <w:r w:rsidRPr="007807CD">
        <w:rPr>
          <w:rFonts w:ascii="Times New Roman" w:hAnsi="Times New Roman"/>
          <w:sz w:val="24"/>
          <w:szCs w:val="24"/>
        </w:rPr>
        <w:noBreakHyphen/>
        <w:t xml:space="preserve">310/16, ECLI:EU:C:2019:30; Решение от 21 януари 2010 г., </w:t>
      </w:r>
      <w:r w:rsidRPr="007807CD">
        <w:rPr>
          <w:rFonts w:ascii="Times New Roman" w:hAnsi="Times New Roman"/>
          <w:bCs/>
          <w:sz w:val="24"/>
          <w:szCs w:val="24"/>
        </w:rPr>
        <w:t xml:space="preserve">Kornelis van Dijk, </w:t>
      </w:r>
      <w:r w:rsidRPr="007807CD">
        <w:rPr>
          <w:rFonts w:ascii="Times New Roman" w:hAnsi="Times New Roman"/>
          <w:sz w:val="24"/>
          <w:szCs w:val="24"/>
        </w:rPr>
        <w:t>C</w:t>
      </w:r>
      <w:r w:rsidRPr="007807CD">
        <w:rPr>
          <w:rFonts w:ascii="Times New Roman" w:hAnsi="Times New Roman"/>
          <w:sz w:val="24"/>
          <w:szCs w:val="24"/>
        </w:rPr>
        <w:noBreakHyphen/>
        <w:t xml:space="preserve">470/08, ECLI:EU:C:2010:31; Решение от 29 юли 2019 г., </w:t>
      </w:r>
      <w:r w:rsidRPr="007807CD">
        <w:rPr>
          <w:rFonts w:ascii="Times New Roman" w:hAnsi="Times New Roman"/>
          <w:bCs/>
          <w:sz w:val="24"/>
          <w:szCs w:val="24"/>
        </w:rPr>
        <w:t xml:space="preserve">Funke Medien NRW GmbH, </w:t>
      </w:r>
      <w:r w:rsidRPr="007807CD">
        <w:rPr>
          <w:rFonts w:ascii="Times New Roman" w:hAnsi="Times New Roman"/>
          <w:sz w:val="24"/>
          <w:szCs w:val="24"/>
        </w:rPr>
        <w:t>C</w:t>
      </w:r>
      <w:r w:rsidRPr="007807CD">
        <w:rPr>
          <w:rFonts w:ascii="Times New Roman" w:hAnsi="Times New Roman"/>
          <w:sz w:val="24"/>
          <w:szCs w:val="24"/>
        </w:rPr>
        <w:noBreakHyphen/>
        <w:t>469/17, ECLI:EU:C:2019:623; Решение от 29 юли 2019 г.,</w:t>
      </w:r>
      <w:r w:rsidRPr="007807CD">
        <w:rPr>
          <w:rFonts w:ascii="Times New Roman" w:hAnsi="Times New Roman"/>
          <w:bCs/>
          <w:sz w:val="24"/>
          <w:szCs w:val="24"/>
        </w:rPr>
        <w:t xml:space="preserve"> Spiegel Online GmbH, </w:t>
      </w:r>
      <w:r w:rsidRPr="007807CD">
        <w:rPr>
          <w:rFonts w:ascii="Times New Roman" w:hAnsi="Times New Roman"/>
          <w:sz w:val="24"/>
          <w:szCs w:val="24"/>
        </w:rPr>
        <w:t>C</w:t>
      </w:r>
      <w:r w:rsidRPr="007807CD">
        <w:rPr>
          <w:rFonts w:ascii="Times New Roman" w:hAnsi="Times New Roman"/>
          <w:sz w:val="24"/>
          <w:szCs w:val="24"/>
        </w:rPr>
        <w:noBreakHyphen/>
        <w:t>516/17, ECLI:EU:C:2019:625; Решение от 29 юли 2019 г., C</w:t>
      </w:r>
      <w:r w:rsidRPr="007807CD">
        <w:rPr>
          <w:rFonts w:ascii="Times New Roman" w:hAnsi="Times New Roman"/>
          <w:sz w:val="24"/>
          <w:szCs w:val="24"/>
        </w:rPr>
        <w:noBreakHyphen/>
        <w:t>476/17, ECLI:EU:C:2019:624.</w:t>
      </w:r>
    </w:p>
    <w:p w:rsidR="005572BD" w:rsidRPr="007807CD" w:rsidRDefault="005572BD" w:rsidP="007807CD">
      <w:pPr>
        <w:spacing w:after="0" w:line="360" w:lineRule="auto"/>
        <w:ind w:firstLine="540"/>
        <w:jc w:val="both"/>
        <w:rPr>
          <w:rFonts w:ascii="Times New Roman" w:hAnsi="Times New Roman"/>
          <w:sz w:val="24"/>
          <w:szCs w:val="24"/>
          <w:bdr w:val="none" w:sz="0" w:space="0" w:color="auto" w:frame="1"/>
          <w:shd w:val="clear" w:color="auto" w:fill="FFFFFF"/>
        </w:rPr>
      </w:pPr>
      <w:r w:rsidRPr="007807CD">
        <w:rPr>
          <w:rFonts w:ascii="Times New Roman" w:hAnsi="Times New Roman"/>
          <w:sz w:val="24"/>
          <w:szCs w:val="24"/>
          <w:bdr w:val="none" w:sz="0" w:space="0" w:color="auto" w:frame="1"/>
          <w:shd w:val="clear" w:color="auto" w:fill="FFFFFF"/>
        </w:rPr>
        <w:t>Агенцията на Европейския съюз за основните права е центърът на ЕС в областта на основните права. Това е една от децентрализираните агенции на ЕС. Тези агенции са създадени да предоставят експертни съвети на институциите на ЕС и на държавите-членки по редица въпроси. Агенцията помага да се защитят основните права на хората, живеещи в ЕС. Тя е изготвила Наръчник за прилагането на Хартата в правото и политиките на национално равнище</w:t>
      </w:r>
      <w:r w:rsidRPr="007807CD">
        <w:rPr>
          <w:rStyle w:val="FootnoteReference"/>
          <w:rFonts w:ascii="Times New Roman" w:hAnsi="Times New Roman"/>
          <w:sz w:val="24"/>
          <w:szCs w:val="24"/>
          <w:bdr w:val="none" w:sz="0" w:space="0" w:color="auto" w:frame="1"/>
          <w:shd w:val="clear" w:color="auto" w:fill="FFFFFF"/>
        </w:rPr>
        <w:footnoteReference w:id="27"/>
      </w:r>
      <w:r w:rsidRPr="007807CD">
        <w:rPr>
          <w:rFonts w:ascii="Times New Roman" w:hAnsi="Times New Roman"/>
          <w:sz w:val="24"/>
          <w:szCs w:val="24"/>
          <w:bdr w:val="none" w:sz="0" w:space="0" w:color="auto" w:frame="1"/>
          <w:shd w:val="clear" w:color="auto" w:fill="FFFFFF"/>
        </w:rPr>
        <w:t>.</w:t>
      </w:r>
    </w:p>
    <w:p w:rsidR="005572BD" w:rsidRPr="007807CD" w:rsidRDefault="005572BD" w:rsidP="007807CD">
      <w:pPr>
        <w:spacing w:after="0" w:line="360" w:lineRule="auto"/>
        <w:ind w:firstLine="540"/>
        <w:jc w:val="both"/>
        <w:rPr>
          <w:rFonts w:ascii="Times New Roman" w:hAnsi="Times New Roman"/>
          <w:sz w:val="24"/>
          <w:szCs w:val="24"/>
        </w:rPr>
      </w:pPr>
    </w:p>
    <w:p w:rsidR="005572BD" w:rsidRPr="007807CD" w:rsidRDefault="005572BD" w:rsidP="007807CD">
      <w:pPr>
        <w:spacing w:after="0" w:line="360" w:lineRule="auto"/>
        <w:ind w:firstLine="540"/>
        <w:jc w:val="both"/>
        <w:rPr>
          <w:rFonts w:ascii="Times New Roman" w:hAnsi="Times New Roman"/>
          <w:b/>
          <w:sz w:val="24"/>
          <w:szCs w:val="24"/>
        </w:rPr>
      </w:pPr>
      <w:r w:rsidRPr="007807CD">
        <w:rPr>
          <w:rFonts w:ascii="Times New Roman" w:hAnsi="Times New Roman"/>
          <w:b/>
          <w:sz w:val="24"/>
          <w:szCs w:val="24"/>
        </w:rPr>
        <w:t xml:space="preserve">4.2. Политика за защита на правата на човека в областта на данъчното облагане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Нарастващата глобализация, а в регионален план преструктурирането на европейската правна рамка на ЕС с Договора от Лисабон</w:t>
      </w:r>
      <w:r w:rsidRPr="007807CD">
        <w:rPr>
          <w:rStyle w:val="FootnoteReference"/>
          <w:rFonts w:ascii="Times New Roman" w:hAnsi="Times New Roman"/>
          <w:sz w:val="24"/>
          <w:szCs w:val="24"/>
        </w:rPr>
        <w:footnoteReference w:id="28"/>
      </w:r>
      <w:r w:rsidRPr="007807CD">
        <w:rPr>
          <w:rFonts w:ascii="Times New Roman" w:hAnsi="Times New Roman"/>
          <w:sz w:val="24"/>
          <w:szCs w:val="24"/>
        </w:rPr>
        <w:t>, са важни фактори, които налагат да се преразгледа традиционното разделяне между сферите на данъчното облагане и правата на човека. Проблемите около въздействието на Договора от Лисабон върху гарантирането и прилагането на правата на човека в областта на данъчното право и правото на ЕС са обект на научен интерес, както показват ежегодните конференции на Групата за изследване на европейското и международно данъчно облагане (GREIT)</w:t>
      </w:r>
      <w:r w:rsidRPr="007807CD">
        <w:rPr>
          <w:rStyle w:val="FootnoteReference"/>
          <w:rFonts w:ascii="Times New Roman" w:hAnsi="Times New Roman"/>
          <w:sz w:val="24"/>
          <w:szCs w:val="24"/>
        </w:rPr>
        <w:footnoteReference w:id="29"/>
      </w:r>
      <w:r w:rsidRPr="007807CD">
        <w:rPr>
          <w:rFonts w:ascii="Times New Roman" w:hAnsi="Times New Roman"/>
          <w:sz w:val="24"/>
          <w:szCs w:val="24"/>
        </w:rPr>
        <w:t xml:space="preserve">.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Групата представлява мрежа от академици, специализирани в европейско и международно данъчно право, и изследва възможното развитие и потенциалното въздействие на правата на човека в областта на данъчното облагане в настоящата глобална епоха.</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В резултат на петата годишна конференция на GREIT във Флоренция през 2010 г. бе издадена книгата „Правата на човека и данъчното облагане в Европа и света“ нa Мигел Поареш Мадуро, Паскуале Пистоне и др</w:t>
      </w:r>
      <w:r w:rsidRPr="007807CD">
        <w:rPr>
          <w:rStyle w:val="FootnoteReference"/>
          <w:rFonts w:ascii="Times New Roman" w:hAnsi="Times New Roman"/>
          <w:sz w:val="24"/>
          <w:szCs w:val="24"/>
        </w:rPr>
        <w:footnoteReference w:id="30"/>
      </w:r>
      <w:r w:rsidRPr="007807CD">
        <w:rPr>
          <w:rFonts w:ascii="Times New Roman" w:hAnsi="Times New Roman"/>
          <w:sz w:val="24"/>
          <w:szCs w:val="24"/>
        </w:rPr>
        <w:t>. Както отбелязват авторите на тази книга, фундаменталните права на данъкоплатците вече нe са само национален проблем, решаван на равнището на конституционните норми на държавите членки на ЕС, а област, в която държавите следва да осигурят адекватна защита, съобразена със стандартите на нивото на ЕС. Това твърдение произтича от развитието на правото на ЕС, по силата на което, вследствие на влизането в сила Договора от Лисабон, Хартата на основните права на ЕС придобива правнообвързващ (задължителен) характер, а Европейската комисия получава мандат да преговаря присъединяването на Съюза към Европейската конвенцията за защита на ПЧ и основни свободи (ЕКЗПЧОС)</w:t>
      </w:r>
      <w:r w:rsidRPr="007807CD">
        <w:rPr>
          <w:rStyle w:val="FootnoteReference"/>
          <w:rFonts w:ascii="Times New Roman" w:hAnsi="Times New Roman"/>
          <w:sz w:val="24"/>
          <w:szCs w:val="24"/>
        </w:rPr>
        <w:footnoteReference w:id="31"/>
      </w:r>
      <w:r w:rsidRPr="007807CD">
        <w:rPr>
          <w:rFonts w:ascii="Times New Roman" w:hAnsi="Times New Roman"/>
          <w:sz w:val="24"/>
          <w:szCs w:val="24"/>
        </w:rPr>
        <w:t>.</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Важно е да се отбележи, че тези инициативи не са напълно успешни – на пленума на Съда на ЕС от 18.12.2014 г. e установено, че споразумението за присъединяване на ЕК към ЕКЗПЧОС не е съвместимо с член 6, параграф 2 от Договора за ЕС (ДЕС), нито с Протокол (№ 8) относно този член. В съответствие с член 6, параграф 3 ДЕС, основните права, както са гарантирани от ЕКЗПЧОС, са част от правото на Съюза в качеството им на общи принципи</w:t>
      </w:r>
      <w:r w:rsidRPr="007807CD">
        <w:rPr>
          <w:rStyle w:val="FootnoteReference"/>
          <w:rFonts w:ascii="Times New Roman" w:hAnsi="Times New Roman"/>
          <w:sz w:val="24"/>
          <w:szCs w:val="24"/>
        </w:rPr>
        <w:footnoteReference w:id="32"/>
      </w:r>
      <w:r w:rsidRPr="007807CD">
        <w:rPr>
          <w:rFonts w:ascii="Times New Roman" w:hAnsi="Times New Roman"/>
          <w:sz w:val="24"/>
          <w:szCs w:val="24"/>
        </w:rPr>
        <w:t>. Както бе посочено по-горе, докато Съюзът не се присъедини към тази конвенция, тя не представлява юридически акт, формално интегриран в правния ред на Съюза</w:t>
      </w:r>
      <w:r w:rsidRPr="007807CD">
        <w:rPr>
          <w:rStyle w:val="FootnoteReference"/>
          <w:rFonts w:ascii="Times New Roman" w:hAnsi="Times New Roman"/>
          <w:sz w:val="24"/>
          <w:szCs w:val="24"/>
        </w:rPr>
        <w:footnoteReference w:id="33"/>
      </w:r>
      <w:r w:rsidRPr="007807CD">
        <w:rPr>
          <w:rFonts w:ascii="Times New Roman" w:hAnsi="Times New Roman"/>
          <w:sz w:val="24"/>
          <w:szCs w:val="24"/>
        </w:rPr>
        <w:t xml:space="preserve">.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Следва да се отбележи, че първоначалната инициатива за формиране на политика за защита на ПЧ в областта на данъчното облагане произлиза от ОИСР през 2003 г. – „Практическа бележка за правата и задълженията на данъкоплатците“</w:t>
      </w:r>
      <w:r w:rsidRPr="007807CD">
        <w:rPr>
          <w:rStyle w:val="FootnoteReference"/>
          <w:rFonts w:ascii="Times New Roman" w:hAnsi="Times New Roman"/>
          <w:sz w:val="24"/>
          <w:szCs w:val="24"/>
        </w:rPr>
        <w:footnoteReference w:id="34"/>
      </w:r>
      <w:r w:rsidRPr="007807CD">
        <w:rPr>
          <w:rFonts w:ascii="Times New Roman" w:hAnsi="Times New Roman"/>
          <w:sz w:val="24"/>
          <w:szCs w:val="24"/>
        </w:rPr>
        <w:t xml:space="preserve">. Към този момент, в ЕС политиката за защитата им се ограничава до съдебната практиката на Съда на ЕС, която разглежда ПЧ като основни принципи на правото.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Както отбелязва Сесил Брокелинд, съавтор в книгата „Правата на човека и данъчното облагане в Европа и света“</w:t>
      </w:r>
      <w:r w:rsidRPr="007807CD">
        <w:rPr>
          <w:rStyle w:val="FootnoteReference"/>
          <w:rFonts w:ascii="Times New Roman" w:hAnsi="Times New Roman"/>
          <w:sz w:val="24"/>
          <w:szCs w:val="24"/>
        </w:rPr>
        <w:footnoteReference w:id="35"/>
      </w:r>
      <w:r w:rsidRPr="007807CD">
        <w:rPr>
          <w:rFonts w:ascii="Times New Roman" w:hAnsi="Times New Roman"/>
          <w:sz w:val="24"/>
          <w:szCs w:val="24"/>
        </w:rPr>
        <w:t xml:space="preserve">, в областта на прилагането, спазването и защитата на ПЧ в данъчната област, Европейският съюз се отличава с правен плурализъм, тъй като за държавите членки на ЕС и техните правни субекти съществуват две паралелни правни системи, които регулират човешките права – правото на ЕС и правото на Съвета на Европа, по-специално, ЕКЗПЧОС и юриспруденцията по нея. Това предизвиква неудовлетворителни резултати в усилията за формиране на политика за защита на ПЧ през призмата на данъчното облагане, което се допълва от факта, упоменат по-горе, че понастоящем ЕС не е член на общността държави, присъединили се към ЕКЗПЧОС. Все пак, в рамките на Съюза, се прилага Хартата на основните права на ЕС, която е с ранг на договорите за основаването на ЕС и чието съдържание до голяма степен е аналогично на правата, установени в ЕКЗПЧОС.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Когато ЕС стане страна по ЕКЗПЧОС, съществената новост ще бъде, че съдът по правата на човека в Страсбург ще стане компетентен да разглеждат дела срещу (институциите на) ЕС за нарушаване на ПЧ, но това няма да предизвика (поне не поради нормативната промяна) изменение в подсъдността на актове на самите държави членки спрямо собствените им данъчно задължени лица. </w:t>
      </w:r>
    </w:p>
    <w:p w:rsidR="005572BD" w:rsidRPr="007807CD" w:rsidRDefault="005572BD" w:rsidP="007807CD">
      <w:pPr>
        <w:spacing w:after="0" w:line="360" w:lineRule="auto"/>
        <w:ind w:firstLine="540"/>
        <w:jc w:val="both"/>
        <w:rPr>
          <w:rFonts w:ascii="Times New Roman" w:hAnsi="Times New Roman"/>
          <w:sz w:val="24"/>
          <w:szCs w:val="24"/>
          <w:highlight w:val="yellow"/>
        </w:rPr>
      </w:pPr>
      <w:r w:rsidRPr="007807CD">
        <w:rPr>
          <w:rFonts w:ascii="Times New Roman" w:hAnsi="Times New Roman"/>
          <w:sz w:val="24"/>
          <w:szCs w:val="24"/>
        </w:rPr>
        <w:t>Важно е да се отбележи, че както на европейско, така и на световно ниво, нормативно определение за правата на данъкоплатците все още липсва. Доктрината се обединява около началната точка на концептуализирането им – правата на данъкоплатците са права на човека, които като такива са универсални, неделими и взаимозависими. По принцип в Европа гражданите и предприятията могат да се основават на следните няколко разпоредби от ЕКЗПЧОС в защита на своите права като данъкоплатци: защита на правото на собственост (чл. 1 от Протокол № 1 към конвенцията), правото на личен семеен живот (чл. 8), правото на справедлив процес (чл. 6) и забрана за дискриминация (чл. 14). В допълнителните протоколи към ЕКПЧ също има основания, използвани при защита на данъкоплатци, като например забрана за налагане на двойна присъда (пример: при налагане на автоматични административни санкции, дублирани с наказателно-правни санкции).</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Негативният ефект на този правен плурализъм се засилва от европейската съдебна практика, която също не установява последователна и напълно адекватна защитата на ПЧ в данъчната област. Съдебните решения на специализирания Съд в Страсбург показват, че той се застъпва за ПЧ на данъкоплатците най-вече в случаите на обвинения от наказателно естество и на процедурни нарушения и проблеми.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Интересна илюстрация на тези особености и тенденции за развитие в областта на правата на данъкоплатеца в Европа е решението на Съда на ЕС по дело C‑543/14 </w:t>
      </w:r>
      <w:r w:rsidRPr="007807CD">
        <w:rPr>
          <w:rFonts w:ascii="Times New Roman" w:hAnsi="Times New Roman"/>
          <w:i/>
          <w:sz w:val="24"/>
          <w:szCs w:val="24"/>
        </w:rPr>
        <w:t>Ordre des barreaux francophones et germanophone и др.</w:t>
      </w:r>
      <w:r w:rsidRPr="007807CD">
        <w:rPr>
          <w:rStyle w:val="FootnoteReference"/>
          <w:rFonts w:ascii="Times New Roman" w:hAnsi="Times New Roman"/>
          <w:i/>
          <w:sz w:val="24"/>
          <w:szCs w:val="24"/>
        </w:rPr>
        <w:footnoteReference w:id="36"/>
      </w:r>
      <w:r w:rsidRPr="007807CD">
        <w:rPr>
          <w:rFonts w:ascii="Times New Roman" w:hAnsi="Times New Roman"/>
          <w:sz w:val="24"/>
          <w:szCs w:val="24"/>
        </w:rPr>
        <w:t>, образувано по преюдициално запитване на Конституционния съд на Кралство Белгия във връзка с жалба, подадена от белгийски адвокатски колегии, организации за защита на правата на човека, хуманитарни организации и няколко физически лица с искане за отмяна на новоприето национално законодателство за облагане с данък върху добавената стойност (ДДС) на доставките на адвокатски услуги. Доводите на жалбоподателите са насочени главно към произтичащото от това данъчно облагане увеличение на разходите за съдебни спорове, което според тях нарушава редица разпоредби, гарантиращи правото на достъп до правосъдие. Според фактите по делото, Белгия е освобождавала доставките на адвокатски услуги от ДДС до 31 декември 2013 г. по силата на преходна дерогационна разпоредба, която се съдържа във вторичното право на ЕС (Директива 2006/112/ЕО относно общата система на ДДС</w:t>
      </w:r>
      <w:r w:rsidRPr="007807CD">
        <w:rPr>
          <w:rStyle w:val="FootnoteReference"/>
          <w:rFonts w:ascii="Times New Roman" w:hAnsi="Times New Roman"/>
          <w:sz w:val="24"/>
          <w:szCs w:val="24"/>
        </w:rPr>
        <w:footnoteReference w:id="37"/>
      </w:r>
      <w:r w:rsidRPr="007807CD">
        <w:rPr>
          <w:rFonts w:ascii="Times New Roman" w:hAnsi="Times New Roman"/>
          <w:sz w:val="24"/>
          <w:szCs w:val="24"/>
        </w:rPr>
        <w:t>), като е била единствената държава членка, възползвала се от дерогацията.</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В това дело забележителното е, че освен на разпоредбите на материалното данъчно право на ЕС (Директива 2006/112/ЕС), за да подкрепят своите аргументи, страните се позовават в значителна степен на Европейската конвенция за защита на правата на човека и основните свободи (чл. 6 – право на справедлив процес, чл. 14 – забрана за дискриминация), на Хартата на основните права на ЕС (чл. 47 – право на ефективни правни средства за защита и на справедлив съдебен процес), на Международния пакт за граждански и политически права (чл. 14, пар. 1 и 3, чл. 26) и на Орхуската конвенция за достъп до информация, участие на обществеността в процеса на взимане на решения и достъп до правосъдие по въпроси на околната среда</w:t>
      </w:r>
      <w:r w:rsidRPr="007807CD">
        <w:rPr>
          <w:rStyle w:val="FootnoteReference"/>
          <w:rFonts w:ascii="Times New Roman" w:hAnsi="Times New Roman"/>
          <w:sz w:val="24"/>
          <w:szCs w:val="24"/>
        </w:rPr>
        <w:footnoteReference w:id="38"/>
      </w:r>
      <w:r w:rsidRPr="007807CD">
        <w:rPr>
          <w:rFonts w:ascii="Times New Roman" w:hAnsi="Times New Roman"/>
          <w:sz w:val="24"/>
          <w:szCs w:val="24"/>
        </w:rPr>
        <w:t xml:space="preserve">.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Отговорът на СЕС по преюдициалните въпроси започва с припомняне на разделението между двете основни европейски системи за защита на правата на човека: „..макар признатите от ЕКЗПЧОС основни права да са част от правото на Съюза като общи принципи, както потвърждава член 6, параграф 3 Договора за ЕС, и макар член 52, параграф 3 от Хартата на основните права на ЕС да предвижда, че съдържащите се в тази харта права, съответстващи на правата, гарантирани от ЕКЗПЧОС, имат същия смисъл и обхват като дадените им в посочената конвенция, докато Съюзът не се присъедини към нея, тя не представлява юридически акт, формално интегриран в правния ред на Съюза …Последната констатация важи и по отношение на МГПП. Затова валидността на Директива 2006/112/ЕО трябва да се преценява единствено от гледна точка на основните права, гарантирани с Хартата.“. По-нататък, Съдът на ЕС установява, че чл. 47 от Хартата не е нарушен, тъй като „няма как да се установи близка или механична корелация между облагането с ДДС на доставките на услуги от адвокати и увеличението на цената на тези услуги“ (т. 35 от решението). В допълнение на аргументацията си по чл. 47 от Хартата, съдът счита че‚ предоставената от принципа на равните процесуални възможности гаранция не обхваща облагането на доставките на услуги от адвокати с ДДС (т. 46 от решението).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В допълнение, СЕС изключва Орхуската конвенция като основание за анализ на спорните разпоредби, тъй като не е изпълнено условието „естеството и общата логика“ на споразумението да допускат това, както и съдържанието му да е достатъчно безусловно и достатъчно точно (т. 49 и т. 57). Така, отговорът на Съда на ЕС по преюдициалното питане се фокусира върху материалното право на ЕС, за да заключи, че „ДДС Директива 2006/12/ЕО трябва да се тълкува в смисъл, че извършваните от адвокати доставки на услуги за правни субекти, които се ползват от правна помощ в рамките на национална правна уредба на правната помощ като разглежданата в главното производство, не се освобождават от ДДС“.</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Неудовлетворителна е и политиката на Съда по правата на човека в Страсбург в защитата на ПЧ на данъкоплатеца, както видно от юриспруденцията последвала решението му по българското дело „Булвес“ АД срещу България</w:t>
      </w:r>
      <w:r w:rsidRPr="007807CD">
        <w:rPr>
          <w:rStyle w:val="FootnoteReference"/>
          <w:rFonts w:ascii="Times New Roman" w:hAnsi="Times New Roman"/>
          <w:sz w:val="24"/>
          <w:szCs w:val="24"/>
        </w:rPr>
        <w:footnoteReference w:id="39"/>
      </w:r>
      <w:r w:rsidRPr="007807CD">
        <w:rPr>
          <w:rFonts w:ascii="Times New Roman" w:hAnsi="Times New Roman"/>
          <w:sz w:val="24"/>
          <w:szCs w:val="24"/>
        </w:rPr>
        <w:t>. По това дело европейският съдия постановява, че държавата няма право да отказва възстановяване на ДДС, когато получателят на облагаема с ДДС доставка е добросъвестен, не е могъл да контролира поведението на своя доставчик и коректно е изпълнил данъчните си и счетоводни задължения. Тези изводи на съда са затвърдени с решение по делото „Център за подкрепа на бизнеса“ срещу България</w:t>
      </w:r>
      <w:r w:rsidRPr="007807CD">
        <w:rPr>
          <w:rStyle w:val="FootnoteReference"/>
          <w:rFonts w:ascii="Times New Roman" w:hAnsi="Times New Roman"/>
          <w:sz w:val="24"/>
          <w:szCs w:val="24"/>
        </w:rPr>
        <w:footnoteReference w:id="40"/>
      </w:r>
      <w:r w:rsidRPr="007807CD">
        <w:rPr>
          <w:rFonts w:ascii="Times New Roman" w:hAnsi="Times New Roman"/>
          <w:sz w:val="24"/>
          <w:szCs w:val="24"/>
        </w:rPr>
        <w:t xml:space="preserve">.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Решаващите мотиви на ЕСПЧ по тези две дела съответстват и на практиката на Съда на ЕС по казуси, свързани с ДДС облагане. Фактическото положение на много други данъчно задължени лица в България и принципните аргументи на ЕСПЧ пораждат потенциал за съществена промяна в практиката на българските съдилища, поради което след решението „Булвес“ десетки данъчни жалби срещу България са регистрирани в ЕСПЧ.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Както отбелязва адвокат Михаил Екимджиев, притежаващ богат опит в защита по дела пред Съда в Страсбург, „Тогава нещо се случи в машинарията на Съда. Вероятно поради застрашително увеличаващия се брой ДДС-оплаквания или по други „конфиденциални“ съображения, той реши, че е по-практично да елиминира тези жалби „на входа“. Технически това стана с решението от 25 януари 2011 г. по делото Стефан Назарев и други срещу България (обединени жалби № 26553/05, № 25912/09, № 40107/09 и № 12509/10). С него беше обяснено, че всъщност делата „Булвес“ и „Център за защита на бизнеса“ били частни случаи, нещо като „грешки на растежа“. Така беше решена съдбата на десетките висящи ДДС-жалби, засягащи тежък правозащитен проблем – системния отказ на държавата да възстановява дължим ДДС. Те поголовно бяха обявени за недопустими с немотивирани „решения“ на „едноличен състав“, или с бланкетното позоваване на решението Назарев, въпреки съществените правни и фактически различия между тях“</w:t>
      </w:r>
      <w:r w:rsidRPr="007807CD">
        <w:rPr>
          <w:rStyle w:val="FootnoteReference"/>
          <w:rFonts w:ascii="Times New Roman" w:hAnsi="Times New Roman"/>
          <w:sz w:val="24"/>
          <w:szCs w:val="24"/>
        </w:rPr>
        <w:footnoteReference w:id="41"/>
      </w:r>
      <w:r w:rsidRPr="007807CD">
        <w:rPr>
          <w:rFonts w:ascii="Times New Roman" w:hAnsi="Times New Roman"/>
          <w:sz w:val="24"/>
          <w:szCs w:val="24"/>
        </w:rPr>
        <w:t>.</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Позитивен пример за зараждане на систематична политика в областта на правата на човека при данъчно облагане отново дава международната Организация за икономическо съ</w:t>
      </w:r>
      <w:r>
        <w:rPr>
          <w:rFonts w:ascii="Times New Roman" w:hAnsi="Times New Roman"/>
          <w:sz w:val="24"/>
          <w:szCs w:val="24"/>
        </w:rPr>
        <w:t>трудничество и развитие (ОИСР), която състави списък за права и задължения</w:t>
      </w:r>
      <w:r w:rsidRPr="007807CD">
        <w:rPr>
          <w:rStyle w:val="FootnoteReference"/>
          <w:rFonts w:ascii="Times New Roman" w:hAnsi="Times New Roman"/>
          <w:sz w:val="24"/>
          <w:szCs w:val="24"/>
        </w:rPr>
        <w:footnoteReference w:id="42"/>
      </w:r>
      <w:r w:rsidRPr="007807CD">
        <w:rPr>
          <w:rFonts w:ascii="Times New Roman" w:hAnsi="Times New Roman"/>
          <w:sz w:val="24"/>
          <w:szCs w:val="24"/>
        </w:rPr>
        <w:t>. Този списък не е задължителен, но може да се разглежда като минимален стандарт на тези права и задължения. Някои англосаксонски държави (Канада от 1985 г., САЩ от 1988 г., Австралия от 1997.) вече имат действащ каталог от такива права и задължения, които най-често са организирани във формата на харта, но статутът му варира спрямо страната. Разбира се, това е стандарт, който би трябвало да бъде адаптиран към всяка държава спрямо нейната социално-икономическа обстановка и култура.</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В такива условия, потенциалната роля на ЕС при защита на правата на данъчно задължени лица става все по-значима, тъй като както бе описано по-горе, към настоящия момент тези права са взаимосвързани, но от гледна точка на отделния данъкоплатец те представляват разпръснати правила, съществуващи на различни нива в правния мир. Целта е да се дефинира хомогенна структура от права и задължения на данъкоплатците.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В този смисъл, ролята на ЕС в защита на ПЧ започва да се очертава най-ясно в областта на прякото облагане, където Съдът на ЕС е развил всеобхватна съдебна практика, свързана с основните свободи по договорите за основаване на Съюза.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В допълнение, Европейският парламент публикува доклади (2007) в посока изготвянето на систематична защита на ПЧ в областта на прякото облагане, която да допълни съдебната практика на СЕС</w:t>
      </w:r>
      <w:r w:rsidRPr="007807CD">
        <w:rPr>
          <w:rStyle w:val="FootnoteReference"/>
          <w:rFonts w:ascii="Times New Roman" w:hAnsi="Times New Roman"/>
          <w:sz w:val="24"/>
          <w:szCs w:val="24"/>
        </w:rPr>
        <w:footnoteReference w:id="43"/>
      </w:r>
      <w:r w:rsidRPr="007807CD">
        <w:rPr>
          <w:rFonts w:ascii="Times New Roman" w:hAnsi="Times New Roman"/>
          <w:sz w:val="24"/>
          <w:szCs w:val="24"/>
        </w:rPr>
        <w:t xml:space="preserve">. Целта е защита на правото за изпълнение на оправданите очаквания.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Европейската комисия, от своя страна, публикува „Фискални планове“ през 1999 г., представляващи препоръки към кандидатите за членство в ЕС – в този документ се изразява необходимостта от възприемане на минимални стандарти за защита на ПЧ, особено в областта на защита на личните и семейни права и на правото на справедлив процес</w:t>
      </w:r>
      <w:r w:rsidRPr="007807CD">
        <w:rPr>
          <w:rStyle w:val="FootnoteReference"/>
          <w:rFonts w:ascii="Times New Roman" w:hAnsi="Times New Roman"/>
          <w:sz w:val="24"/>
          <w:szCs w:val="24"/>
        </w:rPr>
        <w:footnoteReference w:id="44"/>
      </w:r>
      <w:r w:rsidRPr="007807CD">
        <w:rPr>
          <w:rFonts w:ascii="Times New Roman" w:hAnsi="Times New Roman"/>
          <w:sz w:val="24"/>
          <w:szCs w:val="24"/>
        </w:rPr>
        <w:t xml:space="preserve">. </w:t>
      </w:r>
    </w:p>
    <w:p w:rsidR="005572BD" w:rsidRPr="007807CD" w:rsidRDefault="005572BD" w:rsidP="007807CD">
      <w:pPr>
        <w:spacing w:after="0" w:line="360" w:lineRule="auto"/>
        <w:ind w:firstLine="540"/>
        <w:jc w:val="both"/>
        <w:rPr>
          <w:rFonts w:ascii="Times New Roman" w:hAnsi="Times New Roman"/>
          <w:sz w:val="24"/>
          <w:szCs w:val="24"/>
        </w:rPr>
      </w:pPr>
    </w:p>
    <w:p w:rsidR="005572BD" w:rsidRPr="007807CD" w:rsidRDefault="005572BD" w:rsidP="007807CD">
      <w:pPr>
        <w:spacing w:after="0" w:line="360" w:lineRule="auto"/>
        <w:ind w:firstLine="540"/>
        <w:jc w:val="both"/>
        <w:rPr>
          <w:rFonts w:ascii="Times New Roman" w:hAnsi="Times New Roman"/>
          <w:b/>
          <w:sz w:val="24"/>
          <w:szCs w:val="24"/>
        </w:rPr>
      </w:pPr>
      <w:r w:rsidRPr="007807CD">
        <w:rPr>
          <w:rFonts w:ascii="Times New Roman" w:hAnsi="Times New Roman"/>
          <w:b/>
          <w:sz w:val="24"/>
          <w:szCs w:val="24"/>
        </w:rPr>
        <w:t>4.3. Хартата на основните права на ЕС и данъчното облагане</w:t>
      </w:r>
    </w:p>
    <w:p w:rsidR="005572BD" w:rsidRPr="007807CD" w:rsidRDefault="005572BD" w:rsidP="007807CD">
      <w:pPr>
        <w:tabs>
          <w:tab w:val="left" w:pos="7797"/>
        </w:tabs>
        <w:autoSpaceDE w:val="0"/>
        <w:autoSpaceDN w:val="0"/>
        <w:adjustRightInd w:val="0"/>
        <w:spacing w:after="0" w:line="360" w:lineRule="auto"/>
        <w:ind w:firstLine="540"/>
        <w:jc w:val="both"/>
        <w:textAlignment w:val="center"/>
        <w:rPr>
          <w:rFonts w:ascii="Times New Roman" w:hAnsi="Times New Roman"/>
          <w:b/>
          <w:bCs/>
          <w:sz w:val="24"/>
          <w:szCs w:val="24"/>
          <w:lang w:eastAsia="bg-BG"/>
        </w:rPr>
      </w:pPr>
      <w:r w:rsidRPr="007807CD">
        <w:rPr>
          <w:rFonts w:ascii="Times New Roman" w:hAnsi="Times New Roman"/>
          <w:sz w:val="24"/>
          <w:szCs w:val="24"/>
          <w:lang w:eastAsia="bg-BG"/>
        </w:rPr>
        <w:t>„Несъмнено правата, установени в Хартата, играят огромна роля в дела от данъчен характер и тази тенденция се наблюдава все по-изразено дори в практиката на</w:t>
      </w:r>
      <w:r>
        <w:rPr>
          <w:rFonts w:ascii="Times New Roman" w:hAnsi="Times New Roman"/>
          <w:sz w:val="24"/>
          <w:szCs w:val="24"/>
          <w:lang w:eastAsia="bg-BG"/>
        </w:rPr>
        <w:t xml:space="preserve"> СЕС по дела в областта на ДДС</w:t>
      </w:r>
      <w:r w:rsidRPr="007807CD">
        <w:rPr>
          <w:rFonts w:ascii="Times New Roman" w:hAnsi="Times New Roman"/>
          <w:sz w:val="24"/>
          <w:szCs w:val="24"/>
          <w:lang w:eastAsia="bg-BG"/>
        </w:rPr>
        <w:t>.</w:t>
      </w:r>
      <w:r w:rsidRPr="007807CD">
        <w:rPr>
          <w:rFonts w:ascii="Times New Roman" w:hAnsi="Times New Roman"/>
          <w:b/>
          <w:bCs/>
          <w:sz w:val="24"/>
          <w:szCs w:val="24"/>
          <w:lang w:eastAsia="bg-BG"/>
        </w:rPr>
        <w:t xml:space="preserve"> </w:t>
      </w:r>
      <w:r w:rsidRPr="007807CD">
        <w:rPr>
          <w:rFonts w:ascii="Times New Roman" w:hAnsi="Times New Roman"/>
          <w:sz w:val="24"/>
          <w:szCs w:val="24"/>
          <w:lang w:eastAsia="bg-BG"/>
        </w:rPr>
        <w:t>Например по отношение на съвместимостта на правилата на ДДС с Хартата (например чл. 17 от Хартата относн</w:t>
      </w:r>
      <w:r>
        <w:rPr>
          <w:rFonts w:ascii="Times New Roman" w:hAnsi="Times New Roman"/>
          <w:sz w:val="24"/>
          <w:szCs w:val="24"/>
          <w:lang w:eastAsia="bg-BG"/>
        </w:rPr>
        <w:t xml:space="preserve">о правото на собственост и ДДС). </w:t>
      </w:r>
      <w:r w:rsidRPr="007807CD">
        <w:rPr>
          <w:rFonts w:ascii="Times New Roman" w:hAnsi="Times New Roman"/>
          <w:sz w:val="24"/>
          <w:szCs w:val="24"/>
          <w:lang w:eastAsia="bg-BG"/>
        </w:rPr>
        <w:t>След като отказът на ползването на право, което произтича от общата система на ДДС, в случай на участие на данъчнозадълженото лице в измама, е просто последица от неизпълнението на условията, които релевантните разпоредби на Шеста директива предвиждат в това</w:t>
      </w:r>
      <w:r>
        <w:rPr>
          <w:rFonts w:ascii="Times New Roman" w:hAnsi="Times New Roman"/>
          <w:sz w:val="24"/>
          <w:szCs w:val="24"/>
          <w:lang w:eastAsia="bg-BG"/>
        </w:rPr>
        <w:t xml:space="preserve"> отношение, то този отказ няма  </w:t>
      </w:r>
      <w:r w:rsidRPr="007807CD">
        <w:rPr>
          <w:rFonts w:ascii="Times New Roman" w:hAnsi="Times New Roman"/>
          <w:spacing w:val="-7"/>
          <w:sz w:val="24"/>
          <w:szCs w:val="24"/>
          <w:lang w:eastAsia="bg-BG"/>
        </w:rPr>
        <w:t>характера на наказание или санкция по смисъла на чл. 7 ЕКПЧОС, подписана в Рим на 4.11.1950 г.,</w:t>
      </w:r>
      <w:r w:rsidRPr="007807CD">
        <w:rPr>
          <w:rFonts w:ascii="Times New Roman" w:hAnsi="Times New Roman"/>
          <w:sz w:val="24"/>
          <w:szCs w:val="24"/>
          <w:lang w:eastAsia="bg-BG"/>
        </w:rPr>
        <w:t xml:space="preserve"> или на член 49 от Хартата на основните права на ЕС (вж. в този смисъл решения </w:t>
      </w:r>
      <w:r w:rsidRPr="007807CD">
        <w:rPr>
          <w:rFonts w:ascii="Times New Roman" w:hAnsi="Times New Roman"/>
          <w:i/>
          <w:iCs/>
          <w:sz w:val="24"/>
          <w:szCs w:val="24"/>
          <w:lang w:eastAsia="bg-BG"/>
        </w:rPr>
        <w:t>Emsland-Stärke</w:t>
      </w:r>
      <w:r w:rsidRPr="007807CD">
        <w:rPr>
          <w:rFonts w:ascii="Times New Roman" w:hAnsi="Times New Roman"/>
          <w:sz w:val="24"/>
          <w:szCs w:val="24"/>
          <w:lang w:eastAsia="bg-BG"/>
        </w:rPr>
        <w:t>, C</w:t>
      </w:r>
      <w:r w:rsidRPr="007807CD">
        <w:rPr>
          <w:rFonts w:ascii="Times New Roman" w:hAnsi="Times New Roman"/>
          <w:sz w:val="24"/>
          <w:szCs w:val="24"/>
          <w:lang w:eastAsia="bg-BG"/>
        </w:rPr>
        <w:noBreakHyphen/>
        <w:t xml:space="preserve">110/99, EU:C:2000:695, т. 56, </w:t>
      </w:r>
      <w:r w:rsidRPr="007807CD">
        <w:rPr>
          <w:rFonts w:ascii="Times New Roman" w:hAnsi="Times New Roman"/>
          <w:i/>
          <w:iCs/>
          <w:sz w:val="24"/>
          <w:szCs w:val="24"/>
          <w:lang w:eastAsia="bg-BG"/>
        </w:rPr>
        <w:t>Halifax</w:t>
      </w:r>
      <w:r w:rsidRPr="007807CD">
        <w:rPr>
          <w:rFonts w:ascii="Times New Roman" w:hAnsi="Times New Roman"/>
          <w:sz w:val="24"/>
          <w:szCs w:val="24"/>
          <w:lang w:eastAsia="bg-BG"/>
        </w:rPr>
        <w:t xml:space="preserve"> и др., EU:C:2006:121, т. 93 и </w:t>
      </w:r>
      <w:r w:rsidRPr="007807CD">
        <w:rPr>
          <w:rFonts w:ascii="Times New Roman" w:hAnsi="Times New Roman"/>
          <w:i/>
          <w:iCs/>
          <w:sz w:val="24"/>
          <w:szCs w:val="24"/>
          <w:lang w:eastAsia="bg-BG"/>
        </w:rPr>
        <w:t>Döhler Neuenkirchen</w:t>
      </w:r>
      <w:r w:rsidRPr="007807CD">
        <w:rPr>
          <w:rFonts w:ascii="Times New Roman" w:hAnsi="Times New Roman"/>
          <w:sz w:val="24"/>
          <w:szCs w:val="24"/>
          <w:lang w:eastAsia="bg-BG"/>
        </w:rPr>
        <w:t>, C</w:t>
      </w:r>
      <w:r w:rsidRPr="007807CD">
        <w:rPr>
          <w:rFonts w:ascii="Times New Roman" w:hAnsi="Times New Roman"/>
          <w:sz w:val="24"/>
          <w:szCs w:val="24"/>
          <w:lang w:eastAsia="bg-BG"/>
        </w:rPr>
        <w:noBreakHyphen/>
        <w:t>262/10, EU:C:2012:559, т. 43)“</w:t>
      </w:r>
      <w:r w:rsidRPr="007807CD">
        <w:rPr>
          <w:rFonts w:ascii="Times New Roman" w:hAnsi="Times New Roman"/>
          <w:sz w:val="24"/>
          <w:szCs w:val="24"/>
          <w:vertAlign w:val="superscript"/>
          <w:lang w:eastAsia="bg-BG"/>
        </w:rPr>
        <w:footnoteReference w:id="45"/>
      </w:r>
      <w:r w:rsidRPr="007807CD">
        <w:rPr>
          <w:rFonts w:ascii="Times New Roman" w:hAnsi="Times New Roman"/>
          <w:sz w:val="24"/>
          <w:szCs w:val="24"/>
          <w:lang w:eastAsia="bg-BG"/>
        </w:rPr>
        <w:t>.</w:t>
      </w:r>
      <w:r w:rsidRPr="007807CD">
        <w:rPr>
          <w:rFonts w:ascii="Times New Roman" w:hAnsi="Times New Roman"/>
          <w:b/>
          <w:bCs/>
          <w:sz w:val="24"/>
          <w:szCs w:val="24"/>
          <w:lang w:eastAsia="bg-BG"/>
        </w:rPr>
        <w:t xml:space="preserve"> </w:t>
      </w:r>
      <w:r w:rsidRPr="007807CD">
        <w:rPr>
          <w:rFonts w:ascii="Times New Roman" w:hAnsi="Times New Roman"/>
          <w:sz w:val="24"/>
          <w:szCs w:val="24"/>
          <w:lang w:eastAsia="bg-BG"/>
        </w:rPr>
        <w:t>СЕС все по-често я споменава в практиката си, доколкото тя е част от първичното право на Съюза след 2009 г., установявайки посочените в нея права, свободи и принципи</w:t>
      </w:r>
      <w:r w:rsidRPr="007807CD">
        <w:rPr>
          <w:rFonts w:ascii="Times New Roman" w:hAnsi="Times New Roman"/>
          <w:sz w:val="24"/>
          <w:szCs w:val="24"/>
          <w:vertAlign w:val="superscript"/>
          <w:lang w:eastAsia="bg-BG"/>
        </w:rPr>
        <w:footnoteReference w:id="46"/>
      </w:r>
      <w:r w:rsidRPr="007807CD">
        <w:rPr>
          <w:rFonts w:ascii="Times New Roman" w:hAnsi="Times New Roman"/>
          <w:sz w:val="24"/>
          <w:szCs w:val="24"/>
          <w:lang w:eastAsia="bg-BG"/>
        </w:rPr>
        <w:t xml:space="preserve">. </w:t>
      </w:r>
    </w:p>
    <w:p w:rsidR="005572BD" w:rsidRPr="007807CD" w:rsidRDefault="005572BD" w:rsidP="007807CD">
      <w:pPr>
        <w:tabs>
          <w:tab w:val="left" w:pos="7797"/>
        </w:tabs>
        <w:autoSpaceDE w:val="0"/>
        <w:autoSpaceDN w:val="0"/>
        <w:adjustRightInd w:val="0"/>
        <w:spacing w:after="0" w:line="360" w:lineRule="auto"/>
        <w:ind w:firstLine="540"/>
        <w:jc w:val="both"/>
        <w:textAlignment w:val="center"/>
        <w:rPr>
          <w:rFonts w:ascii="Times New Roman" w:hAnsi="Times New Roman"/>
          <w:sz w:val="24"/>
          <w:szCs w:val="24"/>
          <w:lang w:eastAsia="bg-BG"/>
        </w:rPr>
      </w:pPr>
      <w:r w:rsidRPr="007807CD">
        <w:rPr>
          <w:rFonts w:ascii="Times New Roman" w:hAnsi="Times New Roman"/>
          <w:b/>
          <w:bCs/>
          <w:sz w:val="24"/>
          <w:szCs w:val="24"/>
          <w:lang w:eastAsia="bg-BG"/>
        </w:rPr>
        <w:t xml:space="preserve">Сред основните права, важни за данъчното облагане са: </w:t>
      </w:r>
      <w:r w:rsidRPr="007807CD">
        <w:rPr>
          <w:rFonts w:ascii="Times New Roman" w:hAnsi="Times New Roman"/>
          <w:sz w:val="24"/>
          <w:szCs w:val="24"/>
          <w:lang w:eastAsia="bg-BG"/>
        </w:rPr>
        <w:t>Зачитане на личния и семейния живот (чл. 7); Защита на личните данни</w:t>
      </w:r>
      <w:r w:rsidRPr="007807CD">
        <w:rPr>
          <w:rStyle w:val="FootnoteReference"/>
          <w:rFonts w:ascii="Times New Roman" w:hAnsi="Times New Roman"/>
          <w:sz w:val="24"/>
          <w:szCs w:val="24"/>
          <w:lang w:eastAsia="bg-BG"/>
        </w:rPr>
        <w:footnoteReference w:id="47"/>
      </w:r>
      <w:r w:rsidRPr="007807CD">
        <w:rPr>
          <w:rFonts w:ascii="Times New Roman" w:hAnsi="Times New Roman"/>
          <w:sz w:val="24"/>
          <w:szCs w:val="24"/>
          <w:lang w:eastAsia="bg-BG"/>
        </w:rPr>
        <w:t xml:space="preserve"> (чл. 8); Свобода на изразяване на мнение и свобода на инфо</w:t>
      </w:r>
      <w:r w:rsidRPr="007807CD">
        <w:rPr>
          <w:rFonts w:ascii="Times New Roman" w:hAnsi="Times New Roman"/>
          <w:spacing w:val="-4"/>
          <w:sz w:val="24"/>
          <w:szCs w:val="24"/>
          <w:lang w:eastAsia="bg-BG"/>
        </w:rPr>
        <w:t>рмация (чл. 11); Свобода на стопанската инициатива (чл. 16); Право на собственост (чл. 17); Право на добра администрация (чл. 41);</w:t>
      </w:r>
      <w:r w:rsidRPr="007807CD">
        <w:rPr>
          <w:rFonts w:ascii="Times New Roman" w:hAnsi="Times New Roman"/>
          <w:sz w:val="24"/>
          <w:szCs w:val="24"/>
          <w:lang w:eastAsia="bg-BG"/>
        </w:rPr>
        <w:t xml:space="preserve"> Право на достъп до документи (чл. 42); Свободно движение и пребиваване</w:t>
      </w:r>
      <w:r w:rsidRPr="007807CD">
        <w:rPr>
          <w:rFonts w:ascii="Times New Roman" w:hAnsi="Times New Roman"/>
          <w:b/>
          <w:bCs/>
          <w:sz w:val="24"/>
          <w:szCs w:val="24"/>
          <w:lang w:eastAsia="bg-BG"/>
        </w:rPr>
        <w:t xml:space="preserve"> </w:t>
      </w:r>
      <w:r w:rsidRPr="007807CD">
        <w:rPr>
          <w:rFonts w:ascii="Times New Roman" w:hAnsi="Times New Roman"/>
          <w:sz w:val="24"/>
          <w:szCs w:val="24"/>
          <w:lang w:eastAsia="bg-BG"/>
        </w:rPr>
        <w:t>(чл. 45);</w:t>
      </w:r>
      <w:r w:rsidRPr="007807CD">
        <w:rPr>
          <w:rFonts w:ascii="Times New Roman" w:hAnsi="Times New Roman"/>
          <w:b/>
          <w:bCs/>
          <w:sz w:val="24"/>
          <w:szCs w:val="24"/>
          <w:lang w:eastAsia="bg-BG"/>
        </w:rPr>
        <w:t xml:space="preserve"> </w:t>
      </w:r>
      <w:r w:rsidRPr="007807CD">
        <w:rPr>
          <w:rFonts w:ascii="Times New Roman" w:hAnsi="Times New Roman"/>
          <w:sz w:val="24"/>
          <w:szCs w:val="24"/>
          <w:lang w:eastAsia="bg-BG"/>
        </w:rPr>
        <w:t>Право на ефективни правни средства за защита и на справедлив съдебен процес (чл. 47); Презумпция за невиновност и право на защита (чл. 48); Принципи на законност и пропорционалност на престъплението и наказанието (чл. 49); Право на всеки да не бъде съден или наказван два пъти за едно и също престъпление (чл. 50)</w:t>
      </w:r>
      <w:r w:rsidRPr="007807CD">
        <w:rPr>
          <w:rFonts w:ascii="Times New Roman" w:hAnsi="Times New Roman"/>
          <w:sz w:val="24"/>
          <w:szCs w:val="24"/>
          <w:vertAlign w:val="superscript"/>
          <w:lang w:eastAsia="bg-BG"/>
        </w:rPr>
        <w:footnoteReference w:id="48"/>
      </w:r>
      <w:r w:rsidRPr="007807CD">
        <w:rPr>
          <w:rFonts w:ascii="Times New Roman" w:hAnsi="Times New Roman"/>
          <w:sz w:val="24"/>
          <w:szCs w:val="24"/>
          <w:lang w:eastAsia="bg-BG"/>
        </w:rPr>
        <w:t>.</w:t>
      </w:r>
    </w:p>
    <w:p w:rsidR="005572BD" w:rsidRPr="007807CD" w:rsidRDefault="005572BD" w:rsidP="007807CD">
      <w:pPr>
        <w:pStyle w:val="ti-art"/>
        <w:shd w:val="clear" w:color="auto" w:fill="FFFFFF"/>
        <w:spacing w:before="0" w:beforeAutospacing="0" w:after="0" w:afterAutospacing="0" w:line="360" w:lineRule="auto"/>
        <w:ind w:firstLine="540"/>
        <w:jc w:val="both"/>
        <w:rPr>
          <w:spacing w:val="-4"/>
          <w:lang w:val="bg-BG" w:eastAsia="bg-BG"/>
        </w:rPr>
      </w:pPr>
      <w:r w:rsidRPr="007807CD">
        <w:rPr>
          <w:b/>
          <w:bCs/>
          <w:spacing w:val="-4"/>
          <w:lang w:val="bg-BG" w:eastAsia="bg-BG"/>
        </w:rPr>
        <w:t>Референция към Хартата има в 18 решения на СЕС и 20 становища на Генерални адвокати за периода 2009 – 1.09.2018 г. по статистика</w:t>
      </w:r>
      <w:r w:rsidRPr="007807CD">
        <w:rPr>
          <w:spacing w:val="-4"/>
          <w:lang w:val="bg-BG" w:eastAsia="bg-BG"/>
        </w:rPr>
        <w:t>.</w:t>
      </w:r>
      <w:r w:rsidRPr="007807CD">
        <w:rPr>
          <w:spacing w:val="-4"/>
          <w:vertAlign w:val="superscript"/>
          <w:lang w:val="bg-BG" w:eastAsia="bg-BG"/>
        </w:rPr>
        <w:footnoteReference w:id="49"/>
      </w:r>
      <w:r w:rsidRPr="007807CD">
        <w:rPr>
          <w:spacing w:val="-4"/>
          <w:lang w:val="bg-BG" w:eastAsia="bg-BG"/>
        </w:rPr>
        <w:t xml:space="preserve"> </w:t>
      </w:r>
    </w:p>
    <w:p w:rsidR="005572BD" w:rsidRPr="007807CD" w:rsidRDefault="005572BD" w:rsidP="007807CD">
      <w:pPr>
        <w:pStyle w:val="ti-art"/>
        <w:shd w:val="clear" w:color="auto" w:fill="FFFFFF"/>
        <w:spacing w:before="0" w:beforeAutospacing="0" w:after="0" w:afterAutospacing="0" w:line="360" w:lineRule="auto"/>
        <w:ind w:firstLine="540"/>
        <w:jc w:val="both"/>
        <w:rPr>
          <w:lang w:val="bg-BG" w:eastAsia="bg-BG"/>
        </w:rPr>
      </w:pPr>
      <w:r w:rsidRPr="007807CD">
        <w:rPr>
          <w:spacing w:val="-4"/>
          <w:lang w:val="bg-BG" w:eastAsia="bg-BG"/>
        </w:rPr>
        <w:t xml:space="preserve">Въпреки това, обхватът на Хартата е ограничен до случаи, в които се оспорва правото на ЕС съгласно член 51. </w:t>
      </w:r>
      <w:r w:rsidRPr="007807CD">
        <w:rPr>
          <w:b/>
          <w:bCs/>
          <w:spacing w:val="-4"/>
          <w:lang w:val="bg-BG" w:eastAsia="bg-BG"/>
        </w:rPr>
        <w:t>Хартата, съгласно член 6, параграф 1 ДЕС, има същата юридическа сила като Договорите.</w:t>
      </w:r>
      <w:r w:rsidRPr="007807CD">
        <w:rPr>
          <w:spacing w:val="-4"/>
          <w:vertAlign w:val="superscript"/>
          <w:lang w:val="bg-BG" w:eastAsia="bg-BG"/>
        </w:rPr>
        <w:footnoteReference w:id="50"/>
      </w:r>
      <w:r w:rsidRPr="007807CD">
        <w:rPr>
          <w:b/>
          <w:bCs/>
          <w:spacing w:val="-4"/>
          <w:lang w:val="bg-BG" w:eastAsia="bg-BG"/>
        </w:rPr>
        <w:t xml:space="preserve"> </w:t>
      </w:r>
      <w:r w:rsidRPr="007807CD">
        <w:rPr>
          <w:bCs/>
          <w:spacing w:val="-4"/>
          <w:lang w:val="bg-BG" w:eastAsia="bg-BG"/>
        </w:rPr>
        <w:t>(</w:t>
      </w:r>
      <w:r w:rsidRPr="007807CD">
        <w:rPr>
          <w:lang w:val="bg-BG" w:eastAsia="bg-BG"/>
        </w:rPr>
        <w:t xml:space="preserve">Спазването на Хартата е задължително не само за институциите, органите, службите и агенциите на Съюза, </w:t>
      </w:r>
      <w:r w:rsidRPr="007807CD">
        <w:rPr>
          <w:b/>
          <w:bCs/>
          <w:lang w:val="bg-BG" w:eastAsia="bg-BG"/>
        </w:rPr>
        <w:t xml:space="preserve">но и за държавите членки, когато те прилагат правото на Съюза в областта на данъчното облагане </w:t>
      </w:r>
      <w:r w:rsidRPr="007807CD">
        <w:rPr>
          <w:lang w:val="bg-BG" w:eastAsia="bg-BG"/>
        </w:rPr>
        <w:t xml:space="preserve">(вж. в този смисъл решение </w:t>
      </w:r>
      <w:r w:rsidRPr="007807CD">
        <w:rPr>
          <w:i/>
          <w:iCs/>
          <w:lang w:val="bg-BG" w:eastAsia="bg-BG"/>
        </w:rPr>
        <w:t>Åkerberg Fransson</w:t>
      </w:r>
      <w:r w:rsidRPr="007807CD">
        <w:rPr>
          <w:lang w:val="bg-BG" w:eastAsia="bg-BG"/>
        </w:rPr>
        <w:t>, C</w:t>
      </w:r>
      <w:r w:rsidRPr="007807CD">
        <w:rPr>
          <w:lang w:val="bg-BG" w:eastAsia="bg-BG"/>
        </w:rPr>
        <w:noBreakHyphen/>
        <w:t xml:space="preserve">617/10, EU:C:2013:105, т. 17–21). </w:t>
      </w:r>
    </w:p>
    <w:p w:rsidR="005572BD" w:rsidRPr="007807CD" w:rsidRDefault="005572BD" w:rsidP="007807CD">
      <w:pPr>
        <w:pStyle w:val="ti-art"/>
        <w:shd w:val="clear" w:color="auto" w:fill="FFFFFF"/>
        <w:spacing w:before="0" w:beforeAutospacing="0" w:after="0" w:afterAutospacing="0" w:line="360" w:lineRule="auto"/>
        <w:ind w:firstLine="540"/>
        <w:jc w:val="both"/>
        <w:rPr>
          <w:lang w:val="bg-BG" w:eastAsia="bg-BG"/>
        </w:rPr>
      </w:pPr>
      <w:r w:rsidRPr="007807CD">
        <w:rPr>
          <w:lang w:val="bg-BG" w:eastAsia="bg-BG"/>
        </w:rPr>
        <w:t xml:space="preserve"> В областта на ДДС, където се прилага правото на Съюза – със сигурност, но не така стои въпросът при преките данъци. Но когато говорим за преки данъци, следва да се подхожда внимателно. </w:t>
      </w:r>
      <w:r w:rsidRPr="007807CD">
        <w:rPr>
          <w:b/>
          <w:lang w:val="bg-BG" w:eastAsia="bg-BG"/>
        </w:rPr>
        <w:t>Хармонизацията в областта на прякото данъчно облагане следва да е базирана по принцип на разпоредбите на чл. 26, чл. 113 и 115 ДФЕС и прилагането на чл. 51 следва да се тества във всеки един конкретен случай.</w:t>
      </w:r>
      <w:r w:rsidRPr="007807CD">
        <w:rPr>
          <w:lang w:val="bg-BG" w:eastAsia="bg-BG"/>
        </w:rPr>
        <w:t xml:space="preserve"> </w:t>
      </w:r>
    </w:p>
    <w:p w:rsidR="005572BD" w:rsidRPr="007807CD" w:rsidRDefault="005572BD" w:rsidP="007807CD">
      <w:pPr>
        <w:pStyle w:val="ti-art"/>
        <w:shd w:val="clear" w:color="auto" w:fill="FFFFFF"/>
        <w:spacing w:before="0" w:beforeAutospacing="0" w:after="0" w:afterAutospacing="0" w:line="360" w:lineRule="auto"/>
        <w:ind w:firstLine="540"/>
        <w:jc w:val="both"/>
        <w:rPr>
          <w:i/>
          <w:iCs/>
          <w:lang w:val="bg-BG"/>
        </w:rPr>
      </w:pPr>
      <w:r w:rsidRPr="007807CD">
        <w:rPr>
          <w:lang w:val="bg-BG" w:eastAsia="bg-BG"/>
        </w:rPr>
        <w:t xml:space="preserve">Държавата членка има суверенитет в областта на прякото данъчно облагане по принцип. Съгласно чл. 26 ДФЕС: </w:t>
      </w:r>
      <w:r w:rsidRPr="007807CD">
        <w:rPr>
          <w:i/>
          <w:iCs/>
          <w:lang w:val="bg-BG"/>
        </w:rPr>
        <w:t>„</w:t>
      </w:r>
      <w:r w:rsidRPr="007807CD">
        <w:rPr>
          <w:lang w:val="bg-BG"/>
        </w:rPr>
        <w:t>1.</w:t>
      </w:r>
      <w:r w:rsidRPr="007807CD">
        <w:rPr>
          <w:i/>
          <w:iCs/>
          <w:lang w:val="bg-BG"/>
        </w:rPr>
        <w:t xml:space="preserve"> </w:t>
      </w:r>
      <w:r w:rsidRPr="007807CD">
        <w:rPr>
          <w:lang w:val="bg-BG"/>
        </w:rPr>
        <w:t>Съюзът приема мерките, предназначени за установяване или осигуряване на функционирането на вътрешния пазар, съгласно съответните разпоредби от Договорите. 2. Вътрешният пазар обхваща пространство без вътрешни граници, в което свободното движение на стоки, хора, услуги и капитали е осигурено в съответствие с разпоредбите на Договорите. 3. Съветът, по предложение на Комисията, определя насоките и условията, необходими за осигуряването на балансиран напредък във всички засегнати сектори.“</w:t>
      </w:r>
      <w:r w:rsidRPr="007807CD">
        <w:rPr>
          <w:i/>
          <w:iCs/>
          <w:lang w:val="bg-BG"/>
        </w:rPr>
        <w:t xml:space="preserve"> </w:t>
      </w:r>
    </w:p>
    <w:p w:rsidR="005572BD" w:rsidRPr="007807CD" w:rsidRDefault="005572BD" w:rsidP="007807CD">
      <w:pPr>
        <w:pStyle w:val="ti-art"/>
        <w:shd w:val="clear" w:color="auto" w:fill="FFFFFF"/>
        <w:spacing w:before="0" w:beforeAutospacing="0" w:after="0" w:afterAutospacing="0" w:line="360" w:lineRule="auto"/>
        <w:ind w:firstLine="540"/>
        <w:jc w:val="both"/>
        <w:rPr>
          <w:lang w:val="bg-BG"/>
        </w:rPr>
      </w:pPr>
      <w:r w:rsidRPr="007807CD">
        <w:rPr>
          <w:lang w:val="bg-BG" w:eastAsia="bg-BG"/>
        </w:rPr>
        <w:t xml:space="preserve">Съгласно чл. 113 ДФЕС: </w:t>
      </w:r>
      <w:r w:rsidRPr="007807CD">
        <w:rPr>
          <w:lang w:val="bg-BG"/>
        </w:rPr>
        <w:t xml:space="preserve">Съветът, с единодушие, в съответствие със специална законодателна процедура и след консултация с Европейския парламент и с Икономическия и социален комитет, приема разпоредби за хармонизиране на законодателството относно данъците върху оборота, акцизите и другите форми на косвено данъчно облагане, в степента, в която такава хармонизация е необходима за осигуряване създаването и функционирането на вътрешния пазар и за предотвратяване на нарушаването на конкуренцията.“ </w:t>
      </w:r>
    </w:p>
    <w:p w:rsidR="005572BD" w:rsidRPr="007807CD" w:rsidRDefault="005572BD" w:rsidP="007807CD">
      <w:pPr>
        <w:pStyle w:val="ti-art"/>
        <w:shd w:val="clear" w:color="auto" w:fill="FFFFFF"/>
        <w:spacing w:before="0" w:beforeAutospacing="0" w:after="0" w:afterAutospacing="0" w:line="360" w:lineRule="auto"/>
        <w:ind w:firstLine="540"/>
        <w:jc w:val="both"/>
        <w:rPr>
          <w:lang w:val="bg-BG" w:eastAsia="bg-BG"/>
        </w:rPr>
      </w:pPr>
      <w:r w:rsidRPr="007807CD">
        <w:rPr>
          <w:lang w:val="bg-BG"/>
        </w:rPr>
        <w:t>А съгласно чл. 115 ДФЕС: „</w:t>
      </w:r>
      <w:r w:rsidRPr="007807CD">
        <w:rPr>
          <w:shd w:val="clear" w:color="auto" w:fill="FFFFFF"/>
          <w:lang w:val="bg-BG"/>
        </w:rPr>
        <w:t xml:space="preserve">Без да се засягат разпоредбите на член 114, Съветът, с единодушие, в съответствие със специална законодателна процедура и след консултация с Европейския парламент и с Икономическия и социален комитет, приема директиви относно сближаването на онези разпоредби, предвидени в законови, подзаконови или административни разпоредби на държавите-членки, които пряко се отнасят до създаването или функционирането на вътрешния пазар.“ </w:t>
      </w:r>
      <w:r w:rsidRPr="007807CD">
        <w:rPr>
          <w:bCs/>
          <w:spacing w:val="-4"/>
          <w:lang w:val="bg-BG"/>
        </w:rPr>
        <w:t>Конституц</w:t>
      </w:r>
      <w:r>
        <w:rPr>
          <w:bCs/>
          <w:spacing w:val="-4"/>
          <w:lang w:val="bg-BG"/>
        </w:rPr>
        <w:t xml:space="preserve">ионната идентичност най-ясно </w:t>
      </w:r>
      <w:r w:rsidRPr="007807CD">
        <w:rPr>
          <w:bCs/>
          <w:spacing w:val="-4"/>
          <w:lang w:val="bg-BG"/>
        </w:rPr>
        <w:t>проявява суверенитета на държавата членка в областта на прякото данъчно облагане</w:t>
      </w:r>
      <w:r w:rsidRPr="007807CD">
        <w:rPr>
          <w:rStyle w:val="FootnoteReference"/>
          <w:bCs/>
          <w:spacing w:val="-4"/>
          <w:lang w:val="bg-BG"/>
        </w:rPr>
        <w:footnoteReference w:id="51"/>
      </w:r>
      <w:r w:rsidRPr="007807CD">
        <w:rPr>
          <w:spacing w:val="-4"/>
          <w:lang w:val="bg-BG"/>
        </w:rPr>
        <w:t xml:space="preserve">. </w:t>
      </w:r>
      <w:r w:rsidRPr="007807CD">
        <w:rPr>
          <w:bCs/>
          <w:spacing w:val="-4"/>
          <w:lang w:val="bg-BG"/>
        </w:rPr>
        <w:t>В днешно време се оказва, че данъчното облагане е последната област на политиката на Съюза, в която вземането на решения се извършва изключително с единодушие. Дали ще бъде превзет този последен бастион? Това ще стане ясно скоро.</w:t>
      </w:r>
    </w:p>
    <w:p w:rsidR="005572BD" w:rsidRPr="007807CD" w:rsidRDefault="005572BD" w:rsidP="007807CD">
      <w:pPr>
        <w:spacing w:after="0" w:line="360" w:lineRule="auto"/>
        <w:ind w:firstLine="540"/>
        <w:jc w:val="both"/>
        <w:rPr>
          <w:rFonts w:ascii="Times New Roman" w:hAnsi="Times New Roman"/>
          <w:sz w:val="24"/>
          <w:szCs w:val="24"/>
          <w:bdr w:val="none" w:sz="0" w:space="0" w:color="auto" w:frame="1"/>
          <w:shd w:val="clear" w:color="auto" w:fill="FFFFFF"/>
        </w:rPr>
      </w:pPr>
      <w:r w:rsidRPr="007807CD">
        <w:rPr>
          <w:rFonts w:ascii="Times New Roman" w:hAnsi="Times New Roman"/>
          <w:bCs/>
          <w:sz w:val="24"/>
          <w:szCs w:val="24"/>
        </w:rPr>
        <w:t>В подкрепа на казаното е и</w:t>
      </w:r>
      <w:r w:rsidRPr="007807CD">
        <w:rPr>
          <w:rFonts w:ascii="Times New Roman" w:hAnsi="Times New Roman"/>
          <w:b/>
          <w:sz w:val="24"/>
          <w:szCs w:val="24"/>
        </w:rPr>
        <w:t xml:space="preserve"> Решение </w:t>
      </w:r>
      <w:r w:rsidRPr="007807CD">
        <w:rPr>
          <w:rFonts w:ascii="Times New Roman" w:hAnsi="Times New Roman"/>
          <w:b/>
          <w:bCs/>
          <w:sz w:val="24"/>
          <w:szCs w:val="24"/>
          <w:bdr w:val="none" w:sz="0" w:space="0" w:color="auto" w:frame="1"/>
        </w:rPr>
        <w:t>№ 235</w:t>
      </w:r>
      <w:r w:rsidRPr="007807CD">
        <w:rPr>
          <w:rFonts w:ascii="Times New Roman" w:hAnsi="Times New Roman"/>
          <w:b/>
          <w:sz w:val="24"/>
          <w:szCs w:val="24"/>
        </w:rPr>
        <w:t xml:space="preserve"> от </w:t>
      </w:r>
      <w:r w:rsidRPr="007807CD">
        <w:rPr>
          <w:rFonts w:ascii="Times New Roman" w:hAnsi="Times New Roman"/>
          <w:b/>
          <w:bCs/>
          <w:sz w:val="24"/>
          <w:szCs w:val="24"/>
          <w:bdr w:val="none" w:sz="0" w:space="0" w:color="auto" w:frame="1"/>
        </w:rPr>
        <w:t>09.01.2015</w:t>
      </w:r>
      <w:r w:rsidRPr="007807CD">
        <w:rPr>
          <w:rFonts w:ascii="Times New Roman" w:hAnsi="Times New Roman"/>
          <w:b/>
          <w:sz w:val="24"/>
          <w:szCs w:val="24"/>
        </w:rPr>
        <w:t xml:space="preserve"> </w:t>
      </w:r>
      <w:r w:rsidRPr="007807CD">
        <w:rPr>
          <w:rFonts w:ascii="Times New Roman" w:hAnsi="Times New Roman"/>
          <w:b/>
          <w:sz w:val="24"/>
          <w:szCs w:val="24"/>
          <w:bdr w:val="none" w:sz="0" w:space="0" w:color="auto" w:frame="1"/>
        </w:rPr>
        <w:t>по адм. дело № 4690/2014 на ВАС, Седмо отделение, с докладчик съдия Соня Янкулова, където съдът посочва, че чл. 51 от Хартата е неприложим по отношение на местни данъци:</w:t>
      </w:r>
      <w:r w:rsidRPr="007807CD">
        <w:rPr>
          <w:rFonts w:ascii="Times New Roman" w:hAnsi="Times New Roman"/>
          <w:bCs/>
          <w:sz w:val="24"/>
          <w:szCs w:val="24"/>
          <w:bdr w:val="none" w:sz="0" w:space="0" w:color="auto" w:frame="1"/>
        </w:rPr>
        <w:t xml:space="preserve"> „</w:t>
      </w:r>
      <w:r w:rsidRPr="007807CD">
        <w:rPr>
          <w:rFonts w:ascii="Times New Roman" w:hAnsi="Times New Roman"/>
          <w:sz w:val="24"/>
          <w:szCs w:val="24"/>
          <w:bdr w:val="none" w:sz="0" w:space="0" w:color="auto" w:frame="1"/>
          <w:shd w:val="clear" w:color="auto" w:fill="FFFFFF"/>
        </w:rPr>
        <w:t>С оглед на изхода от спора съдът не счита за необходимо да отговаря на многобройните доводи на ответника по касационната жалба за неприложимост на чл. 61с, ал. 4 и 5 ЗМДТ поради противоречие с правото на Европейския съюз и Европейската конвенция за защита правата на човека и основните свободи. Следва само да се посочи, че Хартата на основните права на Европейския съюз, съгласно нейният чл. 51, е приложима „за държавите-членки, единствено когато те прилагат правото на Съюза“, а местните данъци не са предмет на регулация от Европейския съюз.“</w:t>
      </w:r>
    </w:p>
    <w:p w:rsidR="005572BD" w:rsidRPr="007807CD" w:rsidRDefault="005572BD" w:rsidP="007807CD">
      <w:pPr>
        <w:tabs>
          <w:tab w:val="left" w:pos="7797"/>
        </w:tabs>
        <w:autoSpaceDE w:val="0"/>
        <w:autoSpaceDN w:val="0"/>
        <w:adjustRightInd w:val="0"/>
        <w:spacing w:after="0" w:line="360" w:lineRule="auto"/>
        <w:ind w:firstLine="540"/>
        <w:jc w:val="both"/>
        <w:textAlignment w:val="center"/>
        <w:rPr>
          <w:rFonts w:ascii="Times New Roman" w:hAnsi="Times New Roman"/>
          <w:sz w:val="24"/>
          <w:szCs w:val="24"/>
        </w:rPr>
      </w:pPr>
      <w:r w:rsidRPr="007807CD">
        <w:rPr>
          <w:rFonts w:ascii="Times New Roman" w:hAnsi="Times New Roman"/>
          <w:b/>
          <w:bCs/>
          <w:sz w:val="24"/>
          <w:szCs w:val="24"/>
        </w:rPr>
        <w:t>Важно е все пак, когато говорим за правата, респективно задълженията на данъчнозадължените лица</w:t>
      </w:r>
      <w:r w:rsidRPr="007807CD">
        <w:rPr>
          <w:rFonts w:ascii="Times New Roman" w:hAnsi="Times New Roman"/>
          <w:b/>
          <w:bCs/>
          <w:sz w:val="24"/>
          <w:szCs w:val="24"/>
          <w:vertAlign w:val="superscript"/>
        </w:rPr>
        <w:footnoteReference w:id="52"/>
      </w:r>
      <w:r w:rsidRPr="007807CD">
        <w:rPr>
          <w:rFonts w:ascii="Times New Roman" w:hAnsi="Times New Roman"/>
          <w:b/>
          <w:bCs/>
          <w:sz w:val="24"/>
          <w:szCs w:val="24"/>
        </w:rPr>
        <w:t>, да се знае, че те йерархично се подреждат и структурират: на първо място</w:t>
      </w:r>
      <w:r w:rsidRPr="007807CD">
        <w:rPr>
          <w:rFonts w:ascii="Times New Roman" w:hAnsi="Times New Roman"/>
          <w:bCs/>
          <w:sz w:val="24"/>
          <w:szCs w:val="24"/>
        </w:rPr>
        <w:t>,</w:t>
      </w:r>
      <w:r w:rsidRPr="007807CD">
        <w:rPr>
          <w:rFonts w:ascii="Times New Roman" w:hAnsi="Times New Roman"/>
          <w:sz w:val="24"/>
          <w:szCs w:val="24"/>
        </w:rPr>
        <w:t xml:space="preserve"> </w:t>
      </w:r>
      <w:r w:rsidRPr="007807CD">
        <w:rPr>
          <w:rFonts w:ascii="Times New Roman" w:hAnsi="Times New Roman"/>
          <w:spacing w:val="2"/>
          <w:sz w:val="24"/>
          <w:szCs w:val="24"/>
        </w:rPr>
        <w:t xml:space="preserve">в националното законодателство (материалноправно и процесуалноправно), включително изведени и гарантирани от Конституцията; </w:t>
      </w:r>
      <w:r w:rsidRPr="007807CD">
        <w:rPr>
          <w:rFonts w:ascii="Times New Roman" w:hAnsi="Times New Roman"/>
          <w:b/>
          <w:bCs/>
          <w:spacing w:val="2"/>
          <w:sz w:val="24"/>
          <w:szCs w:val="24"/>
        </w:rPr>
        <w:t>на второ място</w:t>
      </w:r>
      <w:r w:rsidRPr="007807CD">
        <w:rPr>
          <w:rFonts w:ascii="Times New Roman" w:hAnsi="Times New Roman"/>
          <w:bCs/>
          <w:spacing w:val="2"/>
          <w:sz w:val="24"/>
          <w:szCs w:val="24"/>
        </w:rPr>
        <w:t>,</w:t>
      </w:r>
      <w:r w:rsidRPr="007807CD">
        <w:rPr>
          <w:rFonts w:ascii="Times New Roman" w:hAnsi="Times New Roman"/>
          <w:spacing w:val="2"/>
          <w:sz w:val="24"/>
          <w:szCs w:val="24"/>
        </w:rPr>
        <w:t xml:space="preserve"> в първичното право на ЕС (Хартата на основните права на Европейския съюз); </w:t>
      </w:r>
      <w:r w:rsidRPr="007807CD">
        <w:rPr>
          <w:rFonts w:ascii="Times New Roman" w:hAnsi="Times New Roman"/>
          <w:b/>
          <w:bCs/>
          <w:spacing w:val="2"/>
          <w:sz w:val="24"/>
          <w:szCs w:val="24"/>
        </w:rPr>
        <w:t>на трето място</w:t>
      </w:r>
      <w:r w:rsidRPr="007807CD">
        <w:rPr>
          <w:rFonts w:ascii="Times New Roman" w:hAnsi="Times New Roman"/>
          <w:bCs/>
          <w:spacing w:val="2"/>
          <w:sz w:val="24"/>
          <w:szCs w:val="24"/>
        </w:rPr>
        <w:t>,</w:t>
      </w:r>
      <w:r w:rsidRPr="007807CD">
        <w:rPr>
          <w:rFonts w:ascii="Times New Roman" w:hAnsi="Times New Roman"/>
          <w:spacing w:val="2"/>
          <w:sz w:val="24"/>
          <w:szCs w:val="24"/>
        </w:rPr>
        <w:t xml:space="preserve"> в ЕКЗПЧО</w:t>
      </w:r>
      <w:r w:rsidRPr="007807CD">
        <w:rPr>
          <w:rFonts w:ascii="Times New Roman" w:hAnsi="Times New Roman"/>
          <w:sz w:val="24"/>
          <w:szCs w:val="24"/>
        </w:rPr>
        <w:t xml:space="preserve">С. При това при спазване на основните принципи, установени на тези три нива. В практически аспект, както вече стана ясно по-горе, въпросът е толкова комплексен, че се е наложило ЕК да направи изследване. </w:t>
      </w:r>
    </w:p>
    <w:p w:rsidR="005572BD" w:rsidRPr="007807CD" w:rsidRDefault="005572BD" w:rsidP="007807CD">
      <w:pPr>
        <w:tabs>
          <w:tab w:val="left" w:pos="7797"/>
        </w:tabs>
        <w:autoSpaceDE w:val="0"/>
        <w:autoSpaceDN w:val="0"/>
        <w:adjustRightInd w:val="0"/>
        <w:spacing w:after="0" w:line="360" w:lineRule="auto"/>
        <w:ind w:firstLine="540"/>
        <w:jc w:val="both"/>
        <w:textAlignment w:val="center"/>
        <w:rPr>
          <w:rFonts w:ascii="Times New Roman" w:hAnsi="Times New Roman"/>
          <w:spacing w:val="-2"/>
          <w:sz w:val="24"/>
          <w:szCs w:val="24"/>
        </w:rPr>
      </w:pPr>
      <w:r w:rsidRPr="007807CD">
        <w:rPr>
          <w:rFonts w:ascii="Times New Roman" w:hAnsi="Times New Roman"/>
          <w:sz w:val="24"/>
          <w:szCs w:val="24"/>
        </w:rPr>
        <w:t xml:space="preserve">В резултат на изследването и анализа, през 2016 г. се създава Европейски кодекс на данъкоплатците, който съдържа основни принципи, обхващащи основните съществуващи </w:t>
      </w:r>
      <w:r w:rsidRPr="007807CD">
        <w:rPr>
          <w:rFonts w:ascii="Times New Roman" w:hAnsi="Times New Roman"/>
          <w:b/>
          <w:bCs/>
          <w:sz w:val="24"/>
          <w:szCs w:val="24"/>
        </w:rPr>
        <w:t>права и задължения, уреждащи отношенията между данъкоплатците и данъчните администрации</w:t>
      </w:r>
      <w:r w:rsidRPr="007807CD">
        <w:rPr>
          <w:rFonts w:ascii="Times New Roman" w:hAnsi="Times New Roman"/>
          <w:b/>
          <w:bCs/>
          <w:sz w:val="24"/>
          <w:szCs w:val="24"/>
          <w:vertAlign w:val="superscript"/>
        </w:rPr>
        <w:footnoteReference w:id="53"/>
      </w:r>
      <w:r w:rsidRPr="007807CD">
        <w:rPr>
          <w:rFonts w:ascii="Times New Roman" w:hAnsi="Times New Roman"/>
          <w:b/>
          <w:bCs/>
          <w:sz w:val="24"/>
          <w:szCs w:val="24"/>
        </w:rPr>
        <w:t xml:space="preserve"> в Европа</w:t>
      </w:r>
      <w:r w:rsidRPr="007807CD">
        <w:rPr>
          <w:rFonts w:ascii="Times New Roman" w:hAnsi="Times New Roman"/>
          <w:b/>
          <w:bCs/>
          <w:sz w:val="24"/>
          <w:szCs w:val="24"/>
          <w:vertAlign w:val="superscript"/>
        </w:rPr>
        <w:footnoteReference w:id="54"/>
      </w:r>
      <w:r w:rsidRPr="007807CD">
        <w:rPr>
          <w:rFonts w:ascii="Times New Roman" w:hAnsi="Times New Roman"/>
          <w:b/>
          <w:bCs/>
          <w:sz w:val="24"/>
          <w:szCs w:val="24"/>
        </w:rPr>
        <w:t xml:space="preserve">. </w:t>
      </w:r>
      <w:r w:rsidRPr="007807CD">
        <w:rPr>
          <w:rFonts w:ascii="Times New Roman" w:hAnsi="Times New Roman"/>
          <w:sz w:val="24"/>
          <w:szCs w:val="24"/>
        </w:rPr>
        <w:t>Кодексът не е обвър</w:t>
      </w:r>
      <w:r w:rsidRPr="007807CD">
        <w:rPr>
          <w:rFonts w:ascii="Times New Roman" w:hAnsi="Times New Roman"/>
          <w:spacing w:val="4"/>
          <w:sz w:val="24"/>
          <w:szCs w:val="24"/>
        </w:rPr>
        <w:t>зващ инструмент.</w:t>
      </w:r>
      <w:r w:rsidRPr="007807CD">
        <w:rPr>
          <w:rFonts w:ascii="Times New Roman" w:hAnsi="Times New Roman"/>
          <w:sz w:val="24"/>
          <w:szCs w:val="24"/>
        </w:rPr>
        <w:t xml:space="preserve"> О</w:t>
      </w:r>
      <w:r w:rsidRPr="007807CD">
        <w:rPr>
          <w:rFonts w:ascii="Times New Roman" w:hAnsi="Times New Roman"/>
          <w:spacing w:val="-2"/>
          <w:sz w:val="24"/>
          <w:szCs w:val="24"/>
        </w:rPr>
        <w:t>бщите принципи, които се очертават в кодекса, са следните</w:t>
      </w:r>
      <w:r w:rsidRPr="007807CD">
        <w:rPr>
          <w:rFonts w:ascii="Times New Roman" w:hAnsi="Times New Roman"/>
          <w:spacing w:val="-2"/>
          <w:sz w:val="24"/>
          <w:szCs w:val="24"/>
          <w:vertAlign w:val="superscript"/>
        </w:rPr>
        <w:footnoteReference w:id="55"/>
      </w:r>
      <w:r w:rsidRPr="007807CD">
        <w:rPr>
          <w:rFonts w:ascii="Times New Roman" w:hAnsi="Times New Roman"/>
          <w:spacing w:val="-2"/>
          <w:sz w:val="24"/>
          <w:szCs w:val="24"/>
        </w:rPr>
        <w:t>:</w:t>
      </w:r>
      <w:r w:rsidRPr="007807CD">
        <w:rPr>
          <w:rFonts w:ascii="Times New Roman" w:hAnsi="Times New Roman"/>
          <w:b/>
          <w:bCs/>
          <w:spacing w:val="-2"/>
          <w:sz w:val="24"/>
          <w:szCs w:val="24"/>
        </w:rPr>
        <w:t xml:space="preserve"> законосъобразност и правна сигурност; недискриминация и равенство на данъкоплатците; презумпция за честност; учтиво и внимателно отношение; спазване на закона; безпристрастност и независимост; данъчна тайна и защита на данните; неприкосновеност на личния живот; представителство.</w:t>
      </w:r>
      <w:r w:rsidRPr="007807CD">
        <w:rPr>
          <w:rFonts w:ascii="Times New Roman" w:hAnsi="Times New Roman"/>
          <w:spacing w:val="-2"/>
          <w:sz w:val="24"/>
          <w:szCs w:val="24"/>
        </w:rPr>
        <w:t xml:space="preserve"> В момента въпросите, отнасящи се до правата на данъчнозадължените лица, следва да се интерпретират в светлината на новите тенденции, свързани с </w:t>
      </w:r>
      <w:r w:rsidRPr="007807CD">
        <w:rPr>
          <w:rFonts w:ascii="Times New Roman" w:hAnsi="Times New Roman"/>
          <w:b/>
          <w:bCs/>
          <w:spacing w:val="-2"/>
          <w:sz w:val="24"/>
          <w:szCs w:val="24"/>
        </w:rPr>
        <w:t>прозрачност и защита на данните</w:t>
      </w:r>
      <w:r w:rsidRPr="007807CD">
        <w:rPr>
          <w:rFonts w:ascii="Times New Roman" w:hAnsi="Times New Roman"/>
          <w:spacing w:val="-2"/>
          <w:sz w:val="24"/>
          <w:szCs w:val="24"/>
        </w:rPr>
        <w:t>.</w:t>
      </w:r>
    </w:p>
    <w:p w:rsidR="005572BD" w:rsidRPr="007807CD" w:rsidRDefault="005572BD" w:rsidP="007807CD">
      <w:pPr>
        <w:tabs>
          <w:tab w:val="left" w:pos="7797"/>
        </w:tabs>
        <w:autoSpaceDE w:val="0"/>
        <w:autoSpaceDN w:val="0"/>
        <w:adjustRightInd w:val="0"/>
        <w:spacing w:after="0" w:line="360" w:lineRule="auto"/>
        <w:ind w:firstLine="540"/>
        <w:jc w:val="both"/>
        <w:textAlignment w:val="center"/>
        <w:rPr>
          <w:rFonts w:ascii="Times New Roman" w:hAnsi="Times New Roman"/>
          <w:sz w:val="24"/>
          <w:szCs w:val="24"/>
        </w:rPr>
      </w:pPr>
    </w:p>
    <w:p w:rsidR="005572BD" w:rsidRPr="007807CD" w:rsidRDefault="005572BD" w:rsidP="007807CD">
      <w:pPr>
        <w:spacing w:after="0" w:line="360" w:lineRule="auto"/>
        <w:ind w:firstLine="540"/>
        <w:jc w:val="both"/>
        <w:rPr>
          <w:rFonts w:ascii="Times New Roman" w:hAnsi="Times New Roman"/>
          <w:b/>
          <w:sz w:val="24"/>
          <w:szCs w:val="24"/>
        </w:rPr>
      </w:pPr>
      <w:r w:rsidRPr="007807CD">
        <w:rPr>
          <w:rFonts w:ascii="Times New Roman" w:hAnsi="Times New Roman"/>
          <w:b/>
          <w:sz w:val="24"/>
          <w:szCs w:val="24"/>
        </w:rPr>
        <w:t xml:space="preserve">4.3. Правото на добра администрация по Хартата и практиката на Върховния административен съд на Република България </w:t>
      </w:r>
    </w:p>
    <w:p w:rsidR="005572BD" w:rsidRPr="007807CD" w:rsidRDefault="005572BD" w:rsidP="007807CD">
      <w:pPr>
        <w:tabs>
          <w:tab w:val="left" w:pos="7797"/>
        </w:tabs>
        <w:autoSpaceDE w:val="0"/>
        <w:autoSpaceDN w:val="0"/>
        <w:adjustRightInd w:val="0"/>
        <w:spacing w:after="0" w:line="360" w:lineRule="auto"/>
        <w:ind w:firstLine="540"/>
        <w:jc w:val="both"/>
        <w:textAlignment w:val="center"/>
        <w:rPr>
          <w:rFonts w:ascii="Times New Roman" w:hAnsi="Times New Roman"/>
          <w:sz w:val="24"/>
          <w:szCs w:val="24"/>
          <w:lang w:eastAsia="bg-BG"/>
        </w:rPr>
      </w:pPr>
      <w:r w:rsidRPr="007807CD">
        <w:rPr>
          <w:rFonts w:ascii="Times New Roman" w:hAnsi="Times New Roman"/>
          <w:sz w:val="24"/>
          <w:szCs w:val="24"/>
          <w:lang w:eastAsia="bg-BG"/>
        </w:rPr>
        <w:t xml:space="preserve">Правото на добра администрация, по принцип </w:t>
      </w:r>
      <w:r w:rsidRPr="007807CD">
        <w:rPr>
          <w:rFonts w:ascii="Times New Roman" w:hAnsi="Times New Roman"/>
          <w:b/>
          <w:bCs/>
          <w:sz w:val="24"/>
          <w:szCs w:val="24"/>
          <w:lang w:eastAsia="bg-BG"/>
        </w:rPr>
        <w:t xml:space="preserve">произтича от Хартата на основните права на ЕС и е един от основните административни и процесуални принципи, изведен и от практиката на Съда на ЕС. </w:t>
      </w:r>
      <w:r w:rsidRPr="007807CD">
        <w:rPr>
          <w:rFonts w:ascii="Times New Roman" w:hAnsi="Times New Roman"/>
          <w:sz w:val="24"/>
          <w:szCs w:val="24"/>
          <w:lang w:eastAsia="bg-BG"/>
        </w:rPr>
        <w:t xml:space="preserve">Правото на добра администрация е прогласено в </w:t>
      </w:r>
      <w:r w:rsidRPr="007807CD">
        <w:rPr>
          <w:rFonts w:ascii="Times New Roman" w:hAnsi="Times New Roman"/>
          <w:b/>
          <w:bCs/>
          <w:sz w:val="24"/>
          <w:szCs w:val="24"/>
          <w:lang w:eastAsia="bg-BG"/>
        </w:rPr>
        <w:t>чл. 41 от Хартата</w:t>
      </w:r>
      <w:r w:rsidRPr="007807CD">
        <w:rPr>
          <w:rFonts w:ascii="Times New Roman" w:hAnsi="Times New Roman"/>
          <w:sz w:val="24"/>
          <w:szCs w:val="24"/>
          <w:lang w:eastAsia="bg-BG"/>
        </w:rPr>
        <w:t xml:space="preserve"> </w:t>
      </w:r>
      <w:r w:rsidRPr="007807CD">
        <w:rPr>
          <w:rFonts w:ascii="Times New Roman" w:hAnsi="Times New Roman"/>
          <w:b/>
          <w:bCs/>
          <w:sz w:val="24"/>
          <w:szCs w:val="24"/>
          <w:lang w:eastAsia="bg-BG"/>
        </w:rPr>
        <w:t>във връзка с чл. 51 от същата</w:t>
      </w:r>
      <w:r w:rsidRPr="007807CD">
        <w:rPr>
          <w:rFonts w:ascii="Times New Roman" w:hAnsi="Times New Roman"/>
          <w:sz w:val="24"/>
          <w:szCs w:val="24"/>
          <w:lang w:eastAsia="bg-BG"/>
        </w:rPr>
        <w:t>. То е установено и в Копенхагенските критерии.</w:t>
      </w:r>
      <w:r w:rsidRPr="007807CD">
        <w:rPr>
          <w:rFonts w:ascii="Times New Roman" w:hAnsi="Times New Roman"/>
          <w:b/>
          <w:bCs/>
          <w:sz w:val="24"/>
          <w:szCs w:val="24"/>
          <w:lang w:eastAsia="bg-BG"/>
        </w:rPr>
        <w:t xml:space="preserve"> </w:t>
      </w:r>
      <w:r w:rsidRPr="007807CD">
        <w:rPr>
          <w:rFonts w:ascii="Times New Roman" w:hAnsi="Times New Roman"/>
          <w:sz w:val="24"/>
          <w:szCs w:val="24"/>
          <w:lang w:eastAsia="bg-BG"/>
        </w:rPr>
        <w:t>Текстът на чл. 41 гласи: „1. Всеки има право засягащите го въпроси да бъдат разглеждани от институциите, органите, службите и агенциите на Съюза безпристрастно, справедливо и в разумен срок. 2. Това право включва по-специално: а) правото на всяко лице да бъде изслушвано преди срещу него да б</w:t>
      </w:r>
      <w:r w:rsidRPr="007807CD">
        <w:rPr>
          <w:rFonts w:ascii="Times New Roman" w:hAnsi="Times New Roman"/>
          <w:spacing w:val="2"/>
          <w:sz w:val="24"/>
          <w:szCs w:val="24"/>
          <w:lang w:eastAsia="bg-BG"/>
        </w:rPr>
        <w:t>ъде предприета индивидуална мярка, която би имала неблагоприятни последици за него; б) правото на достъп на всяко лице до документите, които се отнасят до него, като се зачитат легитимните интереси, свързани с поверителността и професионалната и служебна тайна; в) задължението на администрацията да мотивира своите решения</w:t>
      </w:r>
      <w:r w:rsidRPr="007807CD">
        <w:rPr>
          <w:rFonts w:ascii="Times New Roman" w:hAnsi="Times New Roman"/>
          <w:sz w:val="24"/>
          <w:szCs w:val="24"/>
          <w:lang w:eastAsia="bg-BG"/>
        </w:rPr>
        <w:t xml:space="preserve">. 3. Всяко лице има право на обезщетение от страна на Съюза за вредите, нанесени му от институциите или от техните служители при изпълнение на служебните им задължения, в съответствие с основните принципи, които са общи за законодателствата на държавите членки.“ А в чл. 51, ал. 1 е установено, че: „Разпоредбите на настоящата харта се отнасят за институциите, органите, службите и агенциите на Съюза при зачитане на принципа на субсидиарност, както и за държавите членки, единствено когато те прилагат правото на Съюза. В този смисъл те зачитат правата, спазват принципите и насърчават тяхното прилагане в съответствие със своите компетенции и при зачитане на предоставените в Договорите компетенции на Съюза.“ </w:t>
      </w:r>
    </w:p>
    <w:p w:rsidR="005572BD" w:rsidRDefault="005572BD" w:rsidP="007807CD">
      <w:pPr>
        <w:pStyle w:val="c01pointnumerotealtn"/>
        <w:spacing w:before="0" w:beforeAutospacing="0" w:after="0" w:afterAutospacing="0" w:line="360" w:lineRule="auto"/>
        <w:ind w:firstLine="540"/>
        <w:jc w:val="both"/>
        <w:rPr>
          <w:lang w:val="bg-BG"/>
        </w:rPr>
      </w:pPr>
      <w:r w:rsidRPr="007807CD">
        <w:rPr>
          <w:lang w:val="bg-BG" w:eastAsia="bg-BG"/>
        </w:rPr>
        <w:t>След някои първоначални колебания</w:t>
      </w:r>
      <w:r w:rsidRPr="007807CD">
        <w:rPr>
          <w:vertAlign w:val="superscript"/>
          <w:lang w:val="bg-BG" w:eastAsia="bg-BG"/>
        </w:rPr>
        <w:footnoteReference w:id="56"/>
      </w:r>
      <w:r w:rsidRPr="007807CD">
        <w:rPr>
          <w:lang w:val="bg-BG" w:eastAsia="bg-BG"/>
        </w:rPr>
        <w:t xml:space="preserve"> СЕС многократно е постановявал в съответствие с текста на Хартата, че адресати на чл. 41 от същата са единствено институциите, органите, службите и агенциите на ЕС</w:t>
      </w:r>
      <w:r w:rsidRPr="007807CD">
        <w:rPr>
          <w:vertAlign w:val="superscript"/>
          <w:lang w:val="bg-BG" w:eastAsia="bg-BG"/>
        </w:rPr>
        <w:footnoteReference w:id="57"/>
      </w:r>
      <w:r w:rsidRPr="007807CD">
        <w:rPr>
          <w:lang w:val="bg-BG" w:eastAsia="bg-BG"/>
        </w:rPr>
        <w:t xml:space="preserve">. Това тълкуване не се ползва с всеобщо признание. </w:t>
      </w:r>
      <w:r w:rsidRPr="007807CD">
        <w:rPr>
          <w:lang w:val="bg-BG"/>
        </w:rPr>
        <w:t>В Решение на съда (шести състав) 8 май 2019 година по дело C</w:t>
      </w:r>
      <w:r w:rsidRPr="007807CD">
        <w:rPr>
          <w:lang w:val="bg-BG"/>
        </w:rPr>
        <w:noBreakHyphen/>
        <w:t>230/18, PI, ECLI:EU:C:2019:383, в точка 56 се посочва: „Във връзка с член  41 от Хартата, на който е направено позоваване във втория и третия въпрос, следва да се отбележи, че от текста на тази разпоредба ясно следва, че нейни адресати са не държавите членки, а единствено институциите, органите, службите и агенциите на Съюза (решение от 13 септември 2018 г., UBS Europe и др., C</w:t>
      </w:r>
      <w:r w:rsidRPr="007807CD">
        <w:rPr>
          <w:lang w:val="bg-BG"/>
        </w:rPr>
        <w:noBreakHyphen/>
        <w:t xml:space="preserve">358/16, EU:C:2018:715, т. 28 и цитираната съдебна практика). </w:t>
      </w:r>
    </w:p>
    <w:p w:rsidR="005572BD" w:rsidRPr="007807CD" w:rsidRDefault="005572BD" w:rsidP="007807CD">
      <w:pPr>
        <w:pStyle w:val="c01pointnumerotealtn"/>
        <w:spacing w:before="0" w:beforeAutospacing="0" w:after="0" w:afterAutospacing="0" w:line="360" w:lineRule="auto"/>
        <w:ind w:firstLine="540"/>
        <w:jc w:val="both"/>
        <w:rPr>
          <w:lang w:val="bg-BG"/>
        </w:rPr>
      </w:pPr>
      <w:r w:rsidRPr="007807CD">
        <w:rPr>
          <w:lang w:val="bg-BG"/>
        </w:rPr>
        <w:t>От това следва, че член 41 от Хартата не е релевантен в делото по главното производство.“ В продължение в точка 57 се посочва: „Тази разпоредба обаче е проявление на общ принцип на правото на Съюза, съгласно който правото на добра администрация обхваща задължението на администрацията да мотивира своите решения (вж. в този смисъл решение от 17 юли 2014 г., YS и др., C</w:t>
      </w:r>
      <w:r w:rsidRPr="007807CD">
        <w:rPr>
          <w:lang w:val="bg-BG"/>
        </w:rPr>
        <w:noBreakHyphen/>
        <w:t>141/12 и C</w:t>
      </w:r>
      <w:r w:rsidRPr="007807CD">
        <w:rPr>
          <w:lang w:val="bg-BG"/>
        </w:rPr>
        <w:noBreakHyphen/>
        <w:t>372/12, EU:C:2014:2081, т. 68). Задължението за администрацията да изложи в решението мотиви, които са достатъчно специфични и конкретни, за да позволят на заинтересованото лице да разбере причините за индивидуалната мярка с неблагоприятни за него последици, произтича от общия за правото на Съюза принцип на зачитане на правото на защита (вж. в този смисъл решения от 22 ноември 2012 г., M., C</w:t>
      </w:r>
      <w:r w:rsidRPr="007807CD">
        <w:rPr>
          <w:lang w:val="bg-BG"/>
        </w:rPr>
        <w:noBreakHyphen/>
        <w:t>277/11, EU:C:2012:744, т. 88 и от 11 декември 2014 г., Boudjlida, C</w:t>
      </w:r>
      <w:r w:rsidRPr="007807CD">
        <w:rPr>
          <w:lang w:val="bg-BG"/>
        </w:rPr>
        <w:noBreakHyphen/>
        <w:t>249/13, EU:C:2014:2431, т. 38)</w:t>
      </w:r>
      <w:r>
        <w:rPr>
          <w:lang w:val="bg-BG"/>
        </w:rPr>
        <w:t>“.</w:t>
      </w:r>
    </w:p>
    <w:p w:rsidR="005572BD" w:rsidRPr="00EC2F02" w:rsidRDefault="005572BD" w:rsidP="00EC2F02">
      <w:pPr>
        <w:tabs>
          <w:tab w:val="left" w:pos="7797"/>
        </w:tabs>
        <w:autoSpaceDE w:val="0"/>
        <w:autoSpaceDN w:val="0"/>
        <w:adjustRightInd w:val="0"/>
        <w:spacing w:after="0" w:line="360" w:lineRule="auto"/>
        <w:ind w:firstLine="540"/>
        <w:jc w:val="both"/>
        <w:textAlignment w:val="center"/>
        <w:rPr>
          <w:rFonts w:ascii="Times New Roman" w:hAnsi="Times New Roman"/>
          <w:sz w:val="24"/>
          <w:szCs w:val="24"/>
          <w:lang w:eastAsia="bg-BG"/>
        </w:rPr>
      </w:pPr>
      <w:r w:rsidRPr="007807CD">
        <w:rPr>
          <w:rFonts w:ascii="Times New Roman" w:hAnsi="Times New Roman"/>
          <w:sz w:val="24"/>
          <w:szCs w:val="24"/>
          <w:lang w:eastAsia="bg-BG"/>
        </w:rPr>
        <w:t>Изразено е противоположното мнение – че то противоречи на общото правило относно приложното поле на чл. 51, ал. 1 от Хартата. То изключва действията на държавите членки, дори да са предприети за прилагане на правото на Съюза.</w:t>
      </w:r>
      <w:r w:rsidRPr="007807CD">
        <w:rPr>
          <w:rFonts w:ascii="Times New Roman" w:hAnsi="Times New Roman"/>
          <w:sz w:val="24"/>
          <w:szCs w:val="24"/>
          <w:vertAlign w:val="superscript"/>
          <w:lang w:eastAsia="bg-BG"/>
        </w:rPr>
        <w:footnoteReference w:id="58"/>
      </w:r>
      <w:r w:rsidRPr="007807CD">
        <w:rPr>
          <w:rFonts w:ascii="Times New Roman" w:hAnsi="Times New Roman"/>
          <w:sz w:val="24"/>
          <w:szCs w:val="24"/>
          <w:lang w:eastAsia="bg-BG"/>
        </w:rPr>
        <w:t xml:space="preserve"> Изцяло подкрепяме изразеното заключение от генералния адвокат M. Bobek, представено на 7.09.2017 г. по </w:t>
      </w:r>
      <w:r w:rsidRPr="007807CD">
        <w:rPr>
          <w:rFonts w:ascii="Times New Roman" w:hAnsi="Times New Roman"/>
          <w:i/>
          <w:iCs/>
          <w:sz w:val="24"/>
          <w:szCs w:val="24"/>
          <w:lang w:eastAsia="bg-BG"/>
        </w:rPr>
        <w:t>дело C–298/16 Teodor Ispas и Anduţa Ispas с/у Direcţia Generală a Finanţelor Publice Cluj</w:t>
      </w:r>
      <w:r w:rsidRPr="007807CD">
        <w:rPr>
          <w:rFonts w:ascii="Times New Roman" w:hAnsi="Times New Roman"/>
          <w:b/>
          <w:bCs/>
          <w:sz w:val="24"/>
          <w:szCs w:val="24"/>
          <w:lang w:eastAsia="bg-BG"/>
        </w:rPr>
        <w:t xml:space="preserve"> </w:t>
      </w:r>
      <w:r w:rsidRPr="007807CD">
        <w:rPr>
          <w:rFonts w:ascii="Times New Roman" w:hAnsi="Times New Roman"/>
          <w:sz w:val="24"/>
          <w:szCs w:val="24"/>
          <w:lang w:eastAsia="bg-BG"/>
        </w:rPr>
        <w:t>и също трябва да признаем, че не виждаме такова противоречие.</w:t>
      </w:r>
    </w:p>
    <w:p w:rsidR="005572BD" w:rsidRPr="007807CD" w:rsidRDefault="005572BD" w:rsidP="007807CD">
      <w:pPr>
        <w:tabs>
          <w:tab w:val="left" w:pos="7797"/>
        </w:tabs>
        <w:autoSpaceDE w:val="0"/>
        <w:autoSpaceDN w:val="0"/>
        <w:adjustRightInd w:val="0"/>
        <w:spacing w:after="0" w:line="360" w:lineRule="auto"/>
        <w:ind w:firstLine="540"/>
        <w:jc w:val="both"/>
        <w:textAlignment w:val="center"/>
        <w:rPr>
          <w:rFonts w:ascii="Times New Roman" w:hAnsi="Times New Roman"/>
          <w:b/>
          <w:bCs/>
          <w:sz w:val="24"/>
          <w:szCs w:val="24"/>
          <w:lang w:eastAsia="bg-BG"/>
        </w:rPr>
      </w:pPr>
      <w:r w:rsidRPr="007807CD">
        <w:rPr>
          <w:rFonts w:ascii="Times New Roman" w:hAnsi="Times New Roman"/>
          <w:sz w:val="24"/>
          <w:szCs w:val="24"/>
          <w:lang w:eastAsia="bg-BG"/>
        </w:rPr>
        <w:t xml:space="preserve">Нещо повече, това основно право например е приложимо за  </w:t>
      </w:r>
      <w:r>
        <w:rPr>
          <w:rFonts w:ascii="Times New Roman" w:hAnsi="Times New Roman"/>
          <w:sz w:val="24"/>
          <w:szCs w:val="24"/>
          <w:lang w:eastAsia="bg-BG"/>
        </w:rPr>
        <w:t xml:space="preserve">държавните орани </w:t>
      </w:r>
      <w:r w:rsidRPr="007807CD">
        <w:rPr>
          <w:rFonts w:ascii="Times New Roman" w:hAnsi="Times New Roman"/>
          <w:sz w:val="24"/>
          <w:szCs w:val="24"/>
          <w:lang w:eastAsia="bg-BG"/>
        </w:rPr>
        <w:t xml:space="preserve"> </w:t>
      </w:r>
      <w:r w:rsidRPr="005A6DD1">
        <w:rPr>
          <w:rFonts w:ascii="Times New Roman" w:hAnsi="Times New Roman"/>
          <w:sz w:val="24"/>
          <w:szCs w:val="24"/>
          <w:lang w:val="ru-RU" w:eastAsia="bg-BG"/>
        </w:rPr>
        <w:t>(</w:t>
      </w:r>
      <w:r>
        <w:rPr>
          <w:rFonts w:ascii="Times New Roman" w:hAnsi="Times New Roman"/>
          <w:sz w:val="24"/>
          <w:szCs w:val="24"/>
          <w:lang w:eastAsia="bg-BG"/>
        </w:rPr>
        <w:t>административните органи</w:t>
      </w:r>
      <w:r>
        <w:rPr>
          <w:rStyle w:val="FootnoteReference"/>
          <w:rFonts w:ascii="Times New Roman" w:hAnsi="Times New Roman"/>
          <w:sz w:val="24"/>
          <w:szCs w:val="24"/>
          <w:lang w:eastAsia="bg-BG"/>
        </w:rPr>
        <w:footnoteReference w:id="59"/>
      </w:r>
      <w:r w:rsidRPr="005A6DD1">
        <w:rPr>
          <w:rFonts w:ascii="Times New Roman" w:hAnsi="Times New Roman"/>
          <w:sz w:val="24"/>
          <w:szCs w:val="24"/>
          <w:lang w:val="ru-RU" w:eastAsia="bg-BG"/>
        </w:rPr>
        <w:t xml:space="preserve">) </w:t>
      </w:r>
      <w:r w:rsidRPr="007807CD">
        <w:rPr>
          <w:rFonts w:ascii="Times New Roman" w:hAnsi="Times New Roman"/>
          <w:sz w:val="24"/>
          <w:szCs w:val="24"/>
          <w:lang w:eastAsia="bg-BG"/>
        </w:rPr>
        <w:t>на Република България, когато прилага</w:t>
      </w:r>
      <w:r>
        <w:rPr>
          <w:rFonts w:ascii="Times New Roman" w:hAnsi="Times New Roman"/>
          <w:sz w:val="24"/>
          <w:szCs w:val="24"/>
          <w:lang w:eastAsia="bg-BG"/>
        </w:rPr>
        <w:t>т</w:t>
      </w:r>
      <w:r w:rsidRPr="007807CD">
        <w:rPr>
          <w:rFonts w:ascii="Times New Roman" w:hAnsi="Times New Roman"/>
          <w:sz w:val="24"/>
          <w:szCs w:val="24"/>
          <w:lang w:eastAsia="bg-BG"/>
        </w:rPr>
        <w:t xml:space="preserve"> правото на ЕС в: областта на собствените приходи на бюджета на ЕС (ДДС и митата), където органите на държавата членка действат при условия на споделена компетентност </w:t>
      </w:r>
      <w:r>
        <w:rPr>
          <w:rFonts w:ascii="Times New Roman" w:hAnsi="Times New Roman"/>
          <w:sz w:val="24"/>
          <w:szCs w:val="24"/>
          <w:lang w:eastAsia="bg-BG"/>
        </w:rPr>
        <w:t xml:space="preserve">например </w:t>
      </w:r>
      <w:r w:rsidRPr="007807CD">
        <w:rPr>
          <w:rFonts w:ascii="Times New Roman" w:hAnsi="Times New Roman"/>
          <w:sz w:val="24"/>
          <w:szCs w:val="24"/>
          <w:lang w:eastAsia="bg-BG"/>
        </w:rPr>
        <w:t>с институциите на съюза; в областта на конкуренцията</w:t>
      </w:r>
      <w:r w:rsidRPr="007807CD">
        <w:rPr>
          <w:rFonts w:ascii="Times New Roman" w:hAnsi="Times New Roman"/>
          <w:sz w:val="24"/>
          <w:szCs w:val="24"/>
          <w:vertAlign w:val="superscript"/>
          <w:lang w:eastAsia="bg-BG"/>
        </w:rPr>
        <w:footnoteReference w:id="60"/>
      </w:r>
      <w:r w:rsidRPr="007807CD">
        <w:rPr>
          <w:rFonts w:ascii="Times New Roman" w:hAnsi="Times New Roman"/>
          <w:sz w:val="24"/>
          <w:szCs w:val="24"/>
          <w:lang w:eastAsia="bg-BG"/>
        </w:rPr>
        <w:t xml:space="preserve"> (държавните помощи</w:t>
      </w:r>
      <w:r w:rsidRPr="007807CD">
        <w:rPr>
          <w:rFonts w:ascii="Times New Roman" w:hAnsi="Times New Roman"/>
          <w:sz w:val="24"/>
          <w:szCs w:val="24"/>
          <w:vertAlign w:val="superscript"/>
          <w:lang w:eastAsia="bg-BG"/>
        </w:rPr>
        <w:footnoteReference w:id="61"/>
      </w:r>
      <w:r w:rsidRPr="007807CD">
        <w:rPr>
          <w:rFonts w:ascii="Times New Roman" w:hAnsi="Times New Roman"/>
          <w:sz w:val="24"/>
          <w:szCs w:val="24"/>
          <w:lang w:eastAsia="bg-BG"/>
        </w:rPr>
        <w:t xml:space="preserve"> и обществените поръчки); при управлението на разходната част на бюджета на ЕС и кореспондиращото национално съфинансиране, т.е. средствата от фондовете на ЕС по общата селскостопанска и кохезионна политика</w:t>
      </w:r>
      <w:r w:rsidRPr="007807CD">
        <w:rPr>
          <w:rFonts w:ascii="Times New Roman" w:hAnsi="Times New Roman"/>
          <w:sz w:val="24"/>
          <w:szCs w:val="24"/>
          <w:vertAlign w:val="superscript"/>
          <w:lang w:eastAsia="bg-BG"/>
        </w:rPr>
        <w:footnoteReference w:id="62"/>
      </w:r>
      <w:r w:rsidRPr="007807CD">
        <w:rPr>
          <w:rFonts w:ascii="Times New Roman" w:hAnsi="Times New Roman"/>
          <w:sz w:val="24"/>
          <w:szCs w:val="24"/>
          <w:lang w:eastAsia="bg-BG"/>
        </w:rPr>
        <w:t>; общата валута (еврото)</w:t>
      </w:r>
      <w:r w:rsidRPr="007807CD">
        <w:rPr>
          <w:rFonts w:ascii="Times New Roman" w:hAnsi="Times New Roman"/>
          <w:sz w:val="24"/>
          <w:szCs w:val="24"/>
          <w:vertAlign w:val="superscript"/>
          <w:lang w:eastAsia="bg-BG"/>
        </w:rPr>
        <w:footnoteReference w:id="63"/>
      </w:r>
      <w:r w:rsidRPr="007807CD">
        <w:rPr>
          <w:rFonts w:ascii="Times New Roman" w:hAnsi="Times New Roman"/>
          <w:sz w:val="24"/>
          <w:szCs w:val="24"/>
          <w:lang w:eastAsia="bg-BG"/>
        </w:rPr>
        <w:t>; банковия и финансовия надзор; и т.н. Това право принципно следва да се прилага и когато органите на държавата членка не прил</w:t>
      </w:r>
      <w:r>
        <w:rPr>
          <w:rFonts w:ascii="Times New Roman" w:hAnsi="Times New Roman"/>
          <w:sz w:val="24"/>
          <w:szCs w:val="24"/>
          <w:lang w:eastAsia="bg-BG"/>
        </w:rPr>
        <w:t>агат единствено правото на ЕС</w:t>
      </w:r>
      <w:r w:rsidRPr="007807CD">
        <w:rPr>
          <w:rFonts w:ascii="Times New Roman" w:hAnsi="Times New Roman"/>
          <w:sz w:val="24"/>
          <w:szCs w:val="24"/>
          <w:lang w:eastAsia="bg-BG"/>
        </w:rPr>
        <w:t xml:space="preserve">, тъй като то е вплетено </w:t>
      </w:r>
      <w:r>
        <w:rPr>
          <w:rFonts w:ascii="Times New Roman" w:hAnsi="Times New Roman"/>
          <w:sz w:val="24"/>
          <w:szCs w:val="24"/>
          <w:lang w:eastAsia="bg-BG"/>
        </w:rPr>
        <w:t xml:space="preserve">и </w:t>
      </w:r>
      <w:r w:rsidRPr="007807CD">
        <w:rPr>
          <w:rFonts w:ascii="Times New Roman" w:hAnsi="Times New Roman"/>
          <w:sz w:val="24"/>
          <w:szCs w:val="24"/>
          <w:lang w:eastAsia="bg-BG"/>
        </w:rPr>
        <w:t xml:space="preserve">в основни принципи по АПК, ДОПК, ЗУСЕСИФ и др. </w:t>
      </w:r>
    </w:p>
    <w:p w:rsidR="005572BD" w:rsidRPr="007807CD" w:rsidRDefault="005572BD" w:rsidP="007807CD">
      <w:pPr>
        <w:tabs>
          <w:tab w:val="left" w:pos="7797"/>
        </w:tabs>
        <w:autoSpaceDE w:val="0"/>
        <w:autoSpaceDN w:val="0"/>
        <w:adjustRightInd w:val="0"/>
        <w:spacing w:after="0" w:line="360" w:lineRule="auto"/>
        <w:ind w:firstLine="540"/>
        <w:jc w:val="both"/>
        <w:textAlignment w:val="center"/>
        <w:rPr>
          <w:rFonts w:ascii="Times New Roman" w:hAnsi="Times New Roman"/>
          <w:b/>
          <w:bCs/>
          <w:sz w:val="24"/>
          <w:szCs w:val="24"/>
          <w:lang w:eastAsia="bg-BG"/>
        </w:rPr>
      </w:pPr>
      <w:r w:rsidRPr="007807CD">
        <w:rPr>
          <w:rFonts w:ascii="Times New Roman" w:hAnsi="Times New Roman"/>
          <w:b/>
          <w:bCs/>
          <w:sz w:val="24"/>
          <w:szCs w:val="24"/>
          <w:lang w:eastAsia="bg-BG"/>
        </w:rPr>
        <w:t xml:space="preserve"> Наличието на добра администрация е предпоставка за членство в ЕС на държава кандидатка за членство съобразно Копенхагенските критерии, за да има капацитет да се справя с прилагането на правото на ЕС.</w:t>
      </w:r>
    </w:p>
    <w:p w:rsidR="005572BD" w:rsidRPr="007807CD" w:rsidRDefault="005572BD" w:rsidP="007807CD">
      <w:pPr>
        <w:tabs>
          <w:tab w:val="left" w:pos="7797"/>
        </w:tabs>
        <w:autoSpaceDE w:val="0"/>
        <w:autoSpaceDN w:val="0"/>
        <w:adjustRightInd w:val="0"/>
        <w:spacing w:after="0" w:line="360" w:lineRule="auto"/>
        <w:ind w:firstLine="540"/>
        <w:jc w:val="both"/>
        <w:textAlignment w:val="center"/>
        <w:rPr>
          <w:rFonts w:ascii="Times New Roman" w:hAnsi="Times New Roman"/>
          <w:spacing w:val="-2"/>
          <w:sz w:val="24"/>
          <w:szCs w:val="24"/>
          <w:lang w:eastAsia="bg-BG"/>
        </w:rPr>
      </w:pPr>
      <w:r w:rsidRPr="007807CD">
        <w:rPr>
          <w:rFonts w:ascii="Times New Roman" w:hAnsi="Times New Roman"/>
          <w:spacing w:val="-2"/>
          <w:sz w:val="24"/>
          <w:szCs w:val="24"/>
          <w:lang w:eastAsia="bg-BG"/>
        </w:rPr>
        <w:t xml:space="preserve">Например, ръководителят на УО на оперативна програма, в качеството си на административен орган, следва да прилага този принцип в дейността си, тъй като прилага право на ЕС: първично (чл. 317 и 325 ДФЕС), финансовия регламент и секторни регламенти, както и националното законодателство, свързано с управление на разходната част на бюджета на ЕС, на основание чл. 51 от Хартата. В този смисъл ЗУСЕСИФ е специален процесуален закон по отношение на АПК (процесуална автономия на държавата членка). В ЗУСЕСИФ не са разписани например правила досежно езика, на който се водят производствата по закона от административния орган/ръководителя на УО. Следователно, приложима е разпоредбата на чл. 14 АПК и принципите на административния процес в производствата по ЗУСЕСИФ, наред с принципите, установени в чл. 2, ал. 1 ЗУСЕСИФ. В Определение № 11847/09.10.2017 г. по адм. д. № 10020/2017 г., ВАС, съдът казва: </w:t>
      </w:r>
      <w:r w:rsidRPr="007807CD">
        <w:rPr>
          <w:rFonts w:ascii="Times New Roman" w:hAnsi="Times New Roman"/>
          <w:b/>
          <w:spacing w:val="-2"/>
          <w:sz w:val="24"/>
          <w:szCs w:val="24"/>
          <w:lang w:eastAsia="bg-BG"/>
        </w:rPr>
        <w:t>„</w:t>
      </w:r>
      <w:r w:rsidRPr="007807CD">
        <w:rPr>
          <w:rFonts w:ascii="Times New Roman" w:hAnsi="Times New Roman"/>
          <w:b/>
          <w:bCs/>
          <w:spacing w:val="-2"/>
          <w:sz w:val="24"/>
          <w:szCs w:val="24"/>
          <w:lang w:eastAsia="bg-BG"/>
        </w:rPr>
        <w:t>Комис</w:t>
      </w:r>
      <w:r w:rsidRPr="007807CD">
        <w:rPr>
          <w:rFonts w:ascii="Times New Roman" w:hAnsi="Times New Roman"/>
          <w:b/>
          <w:bCs/>
          <w:sz w:val="24"/>
          <w:szCs w:val="24"/>
          <w:lang w:eastAsia="bg-BG"/>
        </w:rPr>
        <w:t>ията по чл. 33, ал. 1</w:t>
      </w:r>
      <w:r w:rsidRPr="007807CD">
        <w:rPr>
          <w:rFonts w:ascii="Times New Roman" w:hAnsi="Times New Roman"/>
          <w:b/>
          <w:bCs/>
          <w:spacing w:val="-4"/>
          <w:sz w:val="24"/>
          <w:szCs w:val="24"/>
          <w:lang w:eastAsia="bg-BG"/>
        </w:rPr>
        <w:t xml:space="preserve"> ЗУСЕСИФ</w:t>
      </w:r>
      <w:r w:rsidRPr="007807CD">
        <w:rPr>
          <w:rFonts w:ascii="Times New Roman" w:hAnsi="Times New Roman"/>
          <w:spacing w:val="-4"/>
          <w:sz w:val="24"/>
          <w:szCs w:val="24"/>
          <w:lang w:eastAsia="bg-BG"/>
        </w:rPr>
        <w:t>,</w:t>
      </w:r>
      <w:r w:rsidRPr="007807CD">
        <w:rPr>
          <w:rFonts w:ascii="Times New Roman" w:hAnsi="Times New Roman"/>
          <w:sz w:val="24"/>
          <w:szCs w:val="24"/>
          <w:lang w:eastAsia="bg-BG"/>
        </w:rPr>
        <w:t xml:space="preserve"> т. нар. оценителна комисия, е </w:t>
      </w:r>
      <w:r w:rsidRPr="007807CD">
        <w:rPr>
          <w:rFonts w:ascii="Times New Roman" w:hAnsi="Times New Roman"/>
          <w:b/>
          <w:bCs/>
          <w:sz w:val="24"/>
          <w:szCs w:val="24"/>
          <w:lang w:eastAsia="bg-BG"/>
        </w:rPr>
        <w:t>помощен орган на ръководителя на управляващия орган</w:t>
      </w:r>
      <w:r w:rsidRPr="007807CD">
        <w:rPr>
          <w:rFonts w:ascii="Times New Roman" w:hAnsi="Times New Roman"/>
          <w:bCs/>
          <w:sz w:val="24"/>
          <w:szCs w:val="24"/>
          <w:lang w:eastAsia="bg-BG"/>
        </w:rPr>
        <w:t>.</w:t>
      </w:r>
      <w:r w:rsidRPr="007807CD">
        <w:rPr>
          <w:rFonts w:ascii="Times New Roman" w:hAnsi="Times New Roman"/>
          <w:sz w:val="24"/>
          <w:szCs w:val="24"/>
          <w:lang w:eastAsia="bg-BG"/>
        </w:rPr>
        <w:t xml:space="preserve"> Тя има установени в закона правомощия – да оцени и да класира проектните предложения, но не е овластена да издава завършени юридически актове. Комисията прави само предложение за оценката и за класирането на всяко от проектните предложения, като тя може, след като е допуснала съответното проектно предложение до техническа и финансова оценка, да го включи в една от трите възможни групи – на предложените за финансиране проектни предложения, на резервните проектни предложения и на предложените за отхвърляне проектни предложения</w:t>
      </w:r>
      <w:r w:rsidRPr="007807CD">
        <w:rPr>
          <w:rFonts w:ascii="Times New Roman" w:hAnsi="Times New Roman"/>
          <w:spacing w:val="-2"/>
          <w:sz w:val="24"/>
          <w:szCs w:val="24"/>
          <w:lang w:eastAsia="bg-BG"/>
        </w:rPr>
        <w:t xml:space="preserve">. </w:t>
      </w:r>
    </w:p>
    <w:p w:rsidR="005572BD" w:rsidRPr="007807CD" w:rsidRDefault="005572BD" w:rsidP="007807CD">
      <w:pPr>
        <w:tabs>
          <w:tab w:val="left" w:pos="7797"/>
        </w:tabs>
        <w:autoSpaceDE w:val="0"/>
        <w:autoSpaceDN w:val="0"/>
        <w:adjustRightInd w:val="0"/>
        <w:spacing w:after="0" w:line="360" w:lineRule="auto"/>
        <w:ind w:firstLine="540"/>
        <w:jc w:val="both"/>
        <w:textAlignment w:val="center"/>
        <w:rPr>
          <w:rFonts w:ascii="Times New Roman" w:hAnsi="Times New Roman"/>
          <w:b/>
          <w:bCs/>
          <w:spacing w:val="-2"/>
          <w:sz w:val="24"/>
          <w:szCs w:val="24"/>
          <w:lang w:eastAsia="bg-BG"/>
        </w:rPr>
      </w:pPr>
      <w:r w:rsidRPr="007807CD">
        <w:rPr>
          <w:rFonts w:ascii="Times New Roman" w:hAnsi="Times New Roman"/>
          <w:spacing w:val="-2"/>
          <w:sz w:val="24"/>
          <w:szCs w:val="24"/>
          <w:lang w:eastAsia="bg-BG"/>
        </w:rPr>
        <w:t xml:space="preserve">Тези предложения на комисията по чл. 33, ал. 1 ЗУСЕСИФ, обективирани в списъците по чл. 35 ЗУСЕСИФ </w:t>
      </w:r>
      <w:r w:rsidRPr="007807CD">
        <w:rPr>
          <w:rFonts w:ascii="Times New Roman" w:hAnsi="Times New Roman"/>
          <w:b/>
          <w:bCs/>
          <w:spacing w:val="-2"/>
          <w:sz w:val="24"/>
          <w:szCs w:val="24"/>
          <w:lang w:eastAsia="bg-BG"/>
        </w:rPr>
        <w:t>и мотивирани в оценителен доклад</w:t>
      </w:r>
      <w:r w:rsidRPr="007807CD">
        <w:rPr>
          <w:rFonts w:ascii="Times New Roman" w:hAnsi="Times New Roman"/>
          <w:spacing w:val="-2"/>
          <w:sz w:val="24"/>
          <w:szCs w:val="24"/>
          <w:lang w:eastAsia="bg-BG"/>
        </w:rPr>
        <w:t xml:space="preserve">, са </w:t>
      </w:r>
      <w:r w:rsidRPr="007807CD">
        <w:rPr>
          <w:rFonts w:ascii="Times New Roman" w:hAnsi="Times New Roman"/>
          <w:b/>
          <w:bCs/>
          <w:spacing w:val="-2"/>
          <w:sz w:val="24"/>
          <w:szCs w:val="24"/>
          <w:lang w:eastAsia="bg-BG"/>
        </w:rPr>
        <w:t>подготвителни административни актове</w:t>
      </w:r>
      <w:r w:rsidRPr="007807CD">
        <w:rPr>
          <w:rFonts w:ascii="Times New Roman" w:hAnsi="Times New Roman"/>
          <w:bCs/>
          <w:spacing w:val="-2"/>
          <w:sz w:val="24"/>
          <w:szCs w:val="24"/>
          <w:lang w:eastAsia="bg-BG"/>
        </w:rPr>
        <w:t>,</w:t>
      </w:r>
      <w:r w:rsidRPr="007807CD">
        <w:rPr>
          <w:rFonts w:ascii="Times New Roman" w:hAnsi="Times New Roman"/>
          <w:spacing w:val="-2"/>
          <w:sz w:val="24"/>
          <w:szCs w:val="24"/>
          <w:lang w:eastAsia="bg-BG"/>
        </w:rPr>
        <w:t xml:space="preserve"> които едва след одобрението на ръководителя на управляващия орган пораждат права, съответно засягат законни интереси на кандидатите за предоставяне на безвъзмездна финансова помощ“.</w:t>
      </w:r>
      <w:r w:rsidRPr="007807CD">
        <w:rPr>
          <w:rFonts w:ascii="Times New Roman" w:hAnsi="Times New Roman"/>
          <w:spacing w:val="-2"/>
          <w:sz w:val="24"/>
          <w:szCs w:val="24"/>
          <w:vertAlign w:val="superscript"/>
          <w:lang w:eastAsia="bg-BG"/>
        </w:rPr>
        <w:footnoteReference w:id="64"/>
      </w:r>
      <w:r w:rsidRPr="007807CD">
        <w:rPr>
          <w:rFonts w:ascii="Times New Roman" w:hAnsi="Times New Roman"/>
          <w:spacing w:val="-2"/>
          <w:sz w:val="24"/>
          <w:szCs w:val="24"/>
          <w:lang w:eastAsia="bg-BG"/>
        </w:rPr>
        <w:t xml:space="preserve"> Комисията по чл. 33, ал. 1 ЗУСЕСИФ е законово установен помощен орган на ръководителя на управляващия орган, чиято дейност е нормативно регламентирана, и която е част от процедурата по подбор. По силата на изрична правна норма – чл. 35 ЗУСЕСИФ, комисията изготвя и нарочен акт – оценителен доклад, който заедно с резултатите от оценката, </w:t>
      </w:r>
      <w:r w:rsidRPr="007807CD">
        <w:rPr>
          <w:rFonts w:ascii="Times New Roman" w:hAnsi="Times New Roman"/>
          <w:b/>
          <w:bCs/>
          <w:spacing w:val="-2"/>
          <w:sz w:val="24"/>
          <w:szCs w:val="24"/>
          <w:lang w:eastAsia="bg-BG"/>
        </w:rPr>
        <w:t>става мотив на акта на ръководителя на управляващия орган</w:t>
      </w:r>
      <w:r w:rsidRPr="007807CD">
        <w:rPr>
          <w:rFonts w:ascii="Times New Roman" w:hAnsi="Times New Roman"/>
          <w:spacing w:val="-2"/>
          <w:sz w:val="24"/>
          <w:szCs w:val="24"/>
          <w:lang w:eastAsia="bg-BG"/>
        </w:rPr>
        <w:t xml:space="preserve"> по чл. 36, ал. 1, т. 1 във вр. с чл. 35 ЗУСЕСИФ, съответно чл. 37, ал. 3 и чл. 38, т. 1 ЗУСЕСИФ. Този характер на комисията – на помощен орган, на нейната дейност – на част от процедурата по подбор, и на значението на нейните актове – на мотиви на крайния, пораждащ права и засягащ законни интереси индивидуален административен акт, </w:t>
      </w:r>
      <w:r w:rsidRPr="007807CD">
        <w:rPr>
          <w:rFonts w:ascii="Times New Roman" w:hAnsi="Times New Roman"/>
          <w:b/>
          <w:bCs/>
          <w:spacing w:val="-2"/>
          <w:sz w:val="24"/>
          <w:szCs w:val="24"/>
          <w:lang w:eastAsia="bg-BG"/>
        </w:rPr>
        <w:t>предпоставя и необходимостта от проверка за спазването на нормативните изисквания относно нея в хода на съдебното производство по контрол за законосъобразност на акта по чл. 36, ал. 1, т. 1 във вр. с чл. 35 ЗУСЕСИФ</w:t>
      </w:r>
      <w:r w:rsidRPr="007807CD">
        <w:rPr>
          <w:rFonts w:ascii="Times New Roman" w:hAnsi="Times New Roman"/>
          <w:bCs/>
          <w:spacing w:val="-2"/>
          <w:sz w:val="24"/>
          <w:szCs w:val="24"/>
          <w:lang w:eastAsia="bg-BG"/>
        </w:rPr>
        <w:t>.</w:t>
      </w:r>
      <w:r w:rsidRPr="007807CD">
        <w:rPr>
          <w:rFonts w:ascii="Times New Roman" w:hAnsi="Times New Roman"/>
          <w:b/>
          <w:bCs/>
          <w:spacing w:val="-2"/>
          <w:sz w:val="24"/>
          <w:szCs w:val="24"/>
          <w:lang w:eastAsia="bg-BG"/>
        </w:rPr>
        <w:t xml:space="preserve"> </w:t>
      </w:r>
    </w:p>
    <w:p w:rsidR="005572BD" w:rsidRPr="007807CD" w:rsidRDefault="005572BD" w:rsidP="007807CD">
      <w:pPr>
        <w:tabs>
          <w:tab w:val="left" w:pos="7797"/>
        </w:tabs>
        <w:autoSpaceDE w:val="0"/>
        <w:autoSpaceDN w:val="0"/>
        <w:adjustRightInd w:val="0"/>
        <w:spacing w:after="0" w:line="360" w:lineRule="auto"/>
        <w:ind w:firstLine="540"/>
        <w:jc w:val="both"/>
        <w:textAlignment w:val="center"/>
        <w:rPr>
          <w:rFonts w:ascii="Times New Roman" w:hAnsi="Times New Roman"/>
          <w:b/>
          <w:bCs/>
          <w:spacing w:val="-2"/>
          <w:sz w:val="24"/>
          <w:szCs w:val="24"/>
          <w:lang w:eastAsia="bg-BG"/>
        </w:rPr>
      </w:pPr>
      <w:r w:rsidRPr="007807CD">
        <w:rPr>
          <w:rFonts w:ascii="Times New Roman" w:hAnsi="Times New Roman"/>
          <w:spacing w:val="-2"/>
          <w:sz w:val="24"/>
          <w:szCs w:val="24"/>
          <w:lang w:eastAsia="bg-BG"/>
        </w:rPr>
        <w:t xml:space="preserve">С оглед на това при контрола за законосъобразност на акта по чл. 38, т. 1 ЗУСЕСИФ съдът следва да извърши контрол спазени ли са нормативните изисквания по отношение на комисията по чл. 33, ал. 1 ЗУСЕСИФ. Оценителната дейност се осъществява в рамките на нормативно и административно установени правила, но сама по себе си тя няма административен, а експертно-оценъчен характер. Експертно-оценъчната дейност </w:t>
      </w:r>
      <w:r w:rsidRPr="007807CD">
        <w:rPr>
          <w:rFonts w:ascii="Times New Roman" w:hAnsi="Times New Roman"/>
          <w:b/>
          <w:bCs/>
          <w:spacing w:val="-2"/>
          <w:sz w:val="24"/>
          <w:szCs w:val="24"/>
          <w:lang w:eastAsia="bg-BG"/>
        </w:rPr>
        <w:t xml:space="preserve">изисква притежаването на специални знания, които не са част от компетентността на органа и именно поради това законодателят е предвидил нейното използване при издаването на акта. </w:t>
      </w:r>
      <w:r w:rsidRPr="007807CD">
        <w:rPr>
          <w:rFonts w:ascii="Times New Roman" w:hAnsi="Times New Roman"/>
          <w:spacing w:val="-2"/>
          <w:sz w:val="24"/>
          <w:szCs w:val="24"/>
          <w:lang w:eastAsia="bg-BG"/>
        </w:rPr>
        <w:t xml:space="preserve"> </w:t>
      </w:r>
      <w:r w:rsidRPr="007807CD">
        <w:rPr>
          <w:rFonts w:ascii="Times New Roman" w:hAnsi="Times New Roman"/>
          <w:b/>
          <w:bCs/>
          <w:spacing w:val="-2"/>
          <w:sz w:val="24"/>
          <w:szCs w:val="24"/>
          <w:lang w:eastAsia="bg-BG"/>
        </w:rPr>
        <w:t>В чл. 41, т. 2, б. „в“ на Хартата</w:t>
      </w:r>
      <w:r w:rsidRPr="007807CD">
        <w:rPr>
          <w:rFonts w:ascii="Times New Roman" w:hAnsi="Times New Roman"/>
          <w:spacing w:val="-2"/>
          <w:sz w:val="24"/>
          <w:szCs w:val="24"/>
          <w:lang w:eastAsia="bg-BG"/>
        </w:rPr>
        <w:t xml:space="preserve"> </w:t>
      </w:r>
      <w:r w:rsidRPr="007807CD">
        <w:rPr>
          <w:rFonts w:ascii="Times New Roman" w:hAnsi="Times New Roman"/>
          <w:b/>
          <w:bCs/>
          <w:spacing w:val="-2"/>
          <w:sz w:val="24"/>
          <w:szCs w:val="24"/>
          <w:lang w:eastAsia="bg-BG"/>
        </w:rPr>
        <w:t>е ясно разписано</w:t>
      </w:r>
      <w:r w:rsidRPr="007807CD">
        <w:rPr>
          <w:rFonts w:ascii="Times New Roman" w:hAnsi="Times New Roman"/>
          <w:spacing w:val="-2"/>
          <w:sz w:val="24"/>
          <w:szCs w:val="24"/>
          <w:lang w:eastAsia="bg-BG"/>
        </w:rPr>
        <w:t xml:space="preserve"> </w:t>
      </w:r>
      <w:r w:rsidRPr="007807CD">
        <w:rPr>
          <w:rFonts w:ascii="Times New Roman" w:hAnsi="Times New Roman"/>
          <w:b/>
          <w:bCs/>
          <w:spacing w:val="-2"/>
          <w:sz w:val="24"/>
          <w:szCs w:val="24"/>
          <w:lang w:eastAsia="bg-BG"/>
        </w:rPr>
        <w:t>задължението на администрацията да мотивира своите решения.</w:t>
      </w:r>
      <w:r w:rsidRPr="007807CD">
        <w:rPr>
          <w:rFonts w:ascii="Times New Roman" w:hAnsi="Times New Roman"/>
          <w:b/>
          <w:bCs/>
          <w:spacing w:val="-2"/>
          <w:sz w:val="24"/>
          <w:szCs w:val="24"/>
          <w:vertAlign w:val="superscript"/>
          <w:lang w:eastAsia="bg-BG"/>
        </w:rPr>
        <w:footnoteReference w:id="65"/>
      </w:r>
    </w:p>
    <w:p w:rsidR="005572BD" w:rsidRPr="007807CD" w:rsidRDefault="005572BD" w:rsidP="007807CD">
      <w:pPr>
        <w:tabs>
          <w:tab w:val="left" w:pos="7797"/>
        </w:tabs>
        <w:autoSpaceDE w:val="0"/>
        <w:autoSpaceDN w:val="0"/>
        <w:adjustRightInd w:val="0"/>
        <w:spacing w:after="0" w:line="360" w:lineRule="auto"/>
        <w:ind w:firstLine="540"/>
        <w:jc w:val="both"/>
        <w:textAlignment w:val="center"/>
        <w:rPr>
          <w:rFonts w:ascii="Times New Roman" w:hAnsi="Times New Roman"/>
          <w:sz w:val="24"/>
          <w:szCs w:val="24"/>
          <w:lang w:eastAsia="bg-BG"/>
        </w:rPr>
      </w:pPr>
      <w:r w:rsidRPr="007807CD">
        <w:rPr>
          <w:rFonts w:ascii="Times New Roman" w:hAnsi="Times New Roman"/>
          <w:b/>
          <w:bCs/>
          <w:sz w:val="24"/>
          <w:szCs w:val="24"/>
          <w:lang w:eastAsia="bg-BG"/>
        </w:rPr>
        <w:t xml:space="preserve"> Ак</w:t>
      </w:r>
      <w:r>
        <w:rPr>
          <w:rFonts w:ascii="Times New Roman" w:hAnsi="Times New Roman"/>
          <w:b/>
          <w:bCs/>
          <w:sz w:val="24"/>
          <w:szCs w:val="24"/>
          <w:lang w:eastAsia="bg-BG"/>
        </w:rPr>
        <w:t>о държавата няма добра</w:t>
      </w:r>
      <w:r w:rsidRPr="007807CD">
        <w:rPr>
          <w:rFonts w:ascii="Times New Roman" w:hAnsi="Times New Roman"/>
          <w:b/>
          <w:bCs/>
          <w:sz w:val="24"/>
          <w:szCs w:val="24"/>
          <w:lang w:eastAsia="bg-BG"/>
        </w:rPr>
        <w:t xml:space="preserve"> администрация</w:t>
      </w:r>
      <w:r w:rsidRPr="007807CD">
        <w:rPr>
          <w:rFonts w:ascii="Times New Roman" w:hAnsi="Times New Roman"/>
          <w:b/>
          <w:bCs/>
          <w:sz w:val="24"/>
          <w:szCs w:val="24"/>
          <w:vertAlign w:val="superscript"/>
          <w:lang w:eastAsia="bg-BG"/>
        </w:rPr>
        <w:footnoteReference w:id="66"/>
      </w:r>
      <w:r w:rsidRPr="007807CD">
        <w:rPr>
          <w:rFonts w:ascii="Times New Roman" w:hAnsi="Times New Roman"/>
          <w:b/>
          <w:bCs/>
          <w:sz w:val="24"/>
          <w:szCs w:val="24"/>
          <w:lang w:eastAsia="bg-BG"/>
        </w:rPr>
        <w:t xml:space="preserve">, то това е предпоставка да понесе отговорност за вреди, включително и от нарушаване на правото на ЕС, е следващата интерпретация на този принцип. </w:t>
      </w:r>
      <w:r w:rsidRPr="007807CD">
        <w:rPr>
          <w:rFonts w:ascii="Times New Roman" w:hAnsi="Times New Roman"/>
          <w:sz w:val="24"/>
          <w:szCs w:val="24"/>
          <w:lang w:eastAsia="bg-BG"/>
        </w:rPr>
        <w:t>Държавата отговаря за вреди, причинени от незаконни актове или действия на нейни органи и длъжностни лица (чл. 7 КРБ)</w:t>
      </w:r>
      <w:r>
        <w:rPr>
          <w:rFonts w:ascii="Times New Roman" w:hAnsi="Times New Roman"/>
          <w:sz w:val="24"/>
          <w:szCs w:val="24"/>
          <w:lang w:eastAsia="bg-BG"/>
        </w:rPr>
        <w:t xml:space="preserve">. </w:t>
      </w:r>
      <w:r w:rsidRPr="00564D22">
        <w:rPr>
          <w:rFonts w:ascii="Times New Roman" w:hAnsi="Times New Roman"/>
          <w:sz w:val="24"/>
          <w:szCs w:val="24"/>
          <w:lang w:eastAsia="bg-BG"/>
        </w:rPr>
        <w:t xml:space="preserve">Основополагащ е и  принципът </w:t>
      </w:r>
      <w:r w:rsidRPr="007807CD">
        <w:rPr>
          <w:rFonts w:ascii="Times New Roman" w:hAnsi="Times New Roman"/>
          <w:sz w:val="24"/>
          <w:szCs w:val="24"/>
          <w:lang w:eastAsia="bg-BG"/>
        </w:rPr>
        <w:t>на правото на ЕС за отговорността на държавата за вреди при прилагане на чл. 4, пар. 3 ДЕС.</w:t>
      </w:r>
      <w:r w:rsidRPr="007807CD">
        <w:rPr>
          <w:rFonts w:ascii="Times New Roman" w:hAnsi="Times New Roman"/>
          <w:sz w:val="24"/>
          <w:szCs w:val="24"/>
          <w:vertAlign w:val="superscript"/>
          <w:lang w:eastAsia="bg-BG"/>
        </w:rPr>
        <w:footnoteReference w:id="67"/>
      </w:r>
    </w:p>
    <w:p w:rsidR="005572BD" w:rsidRPr="007807CD" w:rsidRDefault="005572BD" w:rsidP="007807CD">
      <w:pPr>
        <w:tabs>
          <w:tab w:val="left" w:pos="7797"/>
        </w:tabs>
        <w:autoSpaceDE w:val="0"/>
        <w:autoSpaceDN w:val="0"/>
        <w:adjustRightInd w:val="0"/>
        <w:spacing w:after="0" w:line="360" w:lineRule="auto"/>
        <w:ind w:firstLine="540"/>
        <w:jc w:val="both"/>
        <w:textAlignment w:val="center"/>
        <w:rPr>
          <w:rFonts w:ascii="Times New Roman" w:hAnsi="Times New Roman"/>
          <w:b/>
          <w:bCs/>
          <w:sz w:val="24"/>
          <w:szCs w:val="24"/>
          <w:lang w:eastAsia="bg-BG"/>
        </w:rPr>
      </w:pPr>
      <w:r w:rsidRPr="007807CD">
        <w:rPr>
          <w:rFonts w:ascii="Times New Roman" w:hAnsi="Times New Roman"/>
          <w:sz w:val="24"/>
          <w:szCs w:val="24"/>
        </w:rPr>
        <w:t>В практиката си ВАС споделя горната теза. По-долу ще представим някои решения.</w:t>
      </w:r>
    </w:p>
    <w:p w:rsidR="005572BD" w:rsidRPr="007807CD" w:rsidRDefault="005572BD" w:rsidP="007807CD">
      <w:pPr>
        <w:shd w:val="clear" w:color="auto" w:fill="FFFFFF"/>
        <w:spacing w:after="0" w:line="360" w:lineRule="auto"/>
        <w:ind w:firstLine="540"/>
        <w:jc w:val="both"/>
        <w:rPr>
          <w:rFonts w:ascii="Times New Roman" w:hAnsi="Times New Roman"/>
          <w:b/>
          <w:bCs/>
          <w:sz w:val="24"/>
          <w:szCs w:val="24"/>
          <w:bdr w:val="none" w:sz="0" w:space="0" w:color="auto" w:frame="1"/>
          <w:shd w:val="clear" w:color="auto" w:fill="FFFFFF"/>
        </w:rPr>
      </w:pPr>
      <w:r w:rsidRPr="007807CD">
        <w:rPr>
          <w:rFonts w:ascii="Times New Roman" w:hAnsi="Times New Roman"/>
          <w:b/>
          <w:bCs/>
          <w:sz w:val="24"/>
          <w:szCs w:val="24"/>
          <w:bdr w:val="none" w:sz="0" w:space="0" w:color="auto" w:frame="1"/>
        </w:rPr>
        <w:t xml:space="preserve">В Решение № 1678 от 06.02.2014 </w:t>
      </w:r>
      <w:r w:rsidRPr="007807CD">
        <w:rPr>
          <w:rFonts w:ascii="Times New Roman" w:hAnsi="Times New Roman"/>
          <w:b/>
          <w:sz w:val="24"/>
          <w:szCs w:val="24"/>
          <w:bdr w:val="none" w:sz="0" w:space="0" w:color="auto" w:frame="1"/>
        </w:rPr>
        <w:t xml:space="preserve">по адм. дело № 9152/2013 </w:t>
      </w:r>
      <w:r w:rsidRPr="007807CD">
        <w:rPr>
          <w:rFonts w:ascii="Times New Roman" w:hAnsi="Times New Roman"/>
          <w:b/>
          <w:bCs/>
          <w:sz w:val="24"/>
          <w:szCs w:val="24"/>
          <w:bdr w:val="none" w:sz="0" w:space="0" w:color="auto" w:frame="1"/>
        </w:rPr>
        <w:t xml:space="preserve">на ВАС </w:t>
      </w:r>
      <w:r w:rsidRPr="007807CD">
        <w:rPr>
          <w:rFonts w:ascii="Times New Roman" w:hAnsi="Times New Roman"/>
          <w:b/>
          <w:bCs/>
          <w:sz w:val="24"/>
          <w:szCs w:val="24"/>
          <w:bdr w:val="none" w:sz="0" w:space="0" w:color="auto" w:frame="1"/>
          <w:shd w:val="clear" w:color="auto" w:fill="FFFFFF"/>
        </w:rPr>
        <w:t xml:space="preserve">Трето отделение, с докладчик съдия Жанета Петрова: </w:t>
      </w:r>
      <w:r w:rsidRPr="007807CD">
        <w:rPr>
          <w:rFonts w:ascii="Times New Roman" w:hAnsi="Times New Roman"/>
          <w:bCs/>
          <w:sz w:val="24"/>
          <w:szCs w:val="24"/>
          <w:bdr w:val="none" w:sz="0" w:space="0" w:color="auto" w:frame="1"/>
          <w:shd w:val="clear" w:color="auto" w:fill="FFFFFF"/>
        </w:rPr>
        <w:t>„</w:t>
      </w:r>
      <w:r w:rsidRPr="007807CD">
        <w:rPr>
          <w:rFonts w:ascii="Times New Roman" w:hAnsi="Times New Roman"/>
          <w:sz w:val="24"/>
          <w:szCs w:val="24"/>
          <w:bdr w:val="none" w:sz="0" w:space="0" w:color="auto" w:frame="1"/>
          <w:shd w:val="clear" w:color="auto" w:fill="FFFFFF"/>
        </w:rPr>
        <w:t>Според чл. 41 от Хартата на основните права на Европейския съюз всеки има право на добра администрация, на което кореспондира задължението на институциите, органите, службите и агенциите на Съюза безпристрастно, справедливо и в разумен срок да разглеждат отнесените до тях въпроси. Поведението на служителите, към които ищецът се е обърнал за съдействие, е в нарушение на чл. 20 от Закона за държавния служител, въвеждащ изисквания за точно и своевременно удовлетворяване на исканията на гражданите, за произнасяне без забава и за оказване на съдействие за признаване на техните права и законни интереси. Държавният служител е длъжен да не проявява грубост, невъзпитание и неуважение към гражданите, които обслужва. В този смисъл са и разпоредбите на чл. 2, ал. 6 и чл. 3 от Кодекса за поведението на служителите в държавната администрация, които предписват на държавните служители любезно и възпитано отношение, зачитане на достойнството на личността, както и полагането на усилия, за да стане обслужването достъпно за всеки. Достъпното обслужване, което администрацията е длъжна да осигури на гражданите, изисква компетентно и добросъвестно отношение към изпълнението на служебните задължения, както и адекватна грижа към проблемите на всеки гражданин, независимо от неговата възраст, образование и социално положение.“</w:t>
      </w:r>
    </w:p>
    <w:p w:rsidR="005572BD" w:rsidRPr="007807CD" w:rsidRDefault="005572BD" w:rsidP="007807CD">
      <w:pPr>
        <w:shd w:val="clear" w:color="auto" w:fill="FFFFFF"/>
        <w:spacing w:after="0" w:line="360" w:lineRule="auto"/>
        <w:ind w:firstLine="540"/>
        <w:jc w:val="both"/>
        <w:rPr>
          <w:rFonts w:ascii="Times New Roman" w:hAnsi="Times New Roman"/>
          <w:b/>
          <w:bCs/>
          <w:sz w:val="24"/>
          <w:szCs w:val="24"/>
          <w:bdr w:val="none" w:sz="0" w:space="0" w:color="auto" w:frame="1"/>
          <w:shd w:val="clear" w:color="auto" w:fill="FFFFFF"/>
        </w:rPr>
      </w:pPr>
      <w:r w:rsidRPr="007807CD">
        <w:rPr>
          <w:rFonts w:ascii="Times New Roman" w:hAnsi="Times New Roman"/>
          <w:b/>
          <w:bCs/>
          <w:sz w:val="24"/>
          <w:szCs w:val="24"/>
          <w:bdr w:val="none" w:sz="0" w:space="0" w:color="auto" w:frame="1"/>
        </w:rPr>
        <w:t>В Решение № 5445 от 10.05.2016</w:t>
      </w:r>
      <w:r w:rsidRPr="007807CD">
        <w:rPr>
          <w:rFonts w:ascii="Times New Roman" w:hAnsi="Times New Roman"/>
          <w:b/>
          <w:sz w:val="24"/>
          <w:szCs w:val="24"/>
          <w:bdr w:val="none" w:sz="0" w:space="0" w:color="auto" w:frame="1"/>
        </w:rPr>
        <w:t xml:space="preserve"> по адм. дело № 3700/2015</w:t>
      </w:r>
      <w:r w:rsidRPr="007807CD">
        <w:rPr>
          <w:rFonts w:ascii="Times New Roman" w:hAnsi="Times New Roman"/>
          <w:b/>
          <w:bCs/>
          <w:sz w:val="24"/>
          <w:szCs w:val="24"/>
          <w:bdr w:val="none" w:sz="0" w:space="0" w:color="auto" w:frame="1"/>
        </w:rPr>
        <w:t xml:space="preserve"> на ВАС, </w:t>
      </w:r>
      <w:r w:rsidRPr="007807CD">
        <w:rPr>
          <w:rFonts w:ascii="Times New Roman" w:hAnsi="Times New Roman"/>
          <w:b/>
          <w:bCs/>
          <w:sz w:val="24"/>
          <w:szCs w:val="24"/>
          <w:bdr w:val="none" w:sz="0" w:space="0" w:color="auto" w:frame="1"/>
          <w:shd w:val="clear" w:color="auto" w:fill="FFFFFF"/>
        </w:rPr>
        <w:t>Трето отделение, с докладчик</w:t>
      </w:r>
      <w:r w:rsidRPr="007807CD">
        <w:rPr>
          <w:rFonts w:ascii="Times New Roman" w:hAnsi="Times New Roman"/>
          <w:bCs/>
          <w:sz w:val="24"/>
          <w:szCs w:val="24"/>
          <w:bdr w:val="none" w:sz="0" w:space="0" w:color="auto" w:frame="1"/>
          <w:shd w:val="clear" w:color="auto" w:fill="FFFFFF"/>
        </w:rPr>
        <w:t xml:space="preserve"> </w:t>
      </w:r>
      <w:r w:rsidRPr="007807CD">
        <w:rPr>
          <w:rFonts w:ascii="Times New Roman" w:hAnsi="Times New Roman"/>
          <w:b/>
          <w:bCs/>
          <w:sz w:val="24"/>
          <w:szCs w:val="24"/>
          <w:bdr w:val="none" w:sz="0" w:space="0" w:color="auto" w:frame="1"/>
          <w:shd w:val="clear" w:color="auto" w:fill="FFFFFF"/>
        </w:rPr>
        <w:t>съдия Искра Александрова</w:t>
      </w:r>
      <w:r w:rsidRPr="007807CD">
        <w:rPr>
          <w:rFonts w:ascii="Times New Roman" w:hAnsi="Times New Roman"/>
          <w:bCs/>
          <w:sz w:val="24"/>
          <w:szCs w:val="24"/>
          <w:bdr w:val="none" w:sz="0" w:space="0" w:color="auto" w:frame="1"/>
          <w:shd w:val="clear" w:color="auto" w:fill="FFFFFF"/>
        </w:rPr>
        <w:t xml:space="preserve"> се посочва:</w:t>
      </w:r>
      <w:r w:rsidRPr="007807CD">
        <w:rPr>
          <w:rFonts w:ascii="Times New Roman" w:hAnsi="Times New Roman"/>
          <w:sz w:val="24"/>
          <w:szCs w:val="24"/>
        </w:rPr>
        <w:t xml:space="preserve"> „</w:t>
      </w:r>
      <w:r w:rsidRPr="007807CD">
        <w:rPr>
          <w:rFonts w:ascii="Times New Roman" w:hAnsi="Times New Roman"/>
          <w:sz w:val="24"/>
          <w:szCs w:val="24"/>
          <w:bdr w:val="none" w:sz="0" w:space="0" w:color="auto" w:frame="1"/>
          <w:shd w:val="clear" w:color="auto" w:fill="FFFFFF"/>
        </w:rPr>
        <w:t xml:space="preserve">Въведените с разпоредбите от глава 4 от Регламент 73/2009 на Съвета и чл. 12, параграф 3 от Регламент 1122/2009 на Комисията процедурни задължения за компетентната администрация на държавите-членки, които разпоредби същевременно установяват и сътрудничество между администрацията и заявителите, са </w:t>
      </w:r>
      <w:r w:rsidRPr="007807CD">
        <w:rPr>
          <w:rFonts w:ascii="Times New Roman" w:hAnsi="Times New Roman"/>
          <w:b/>
          <w:sz w:val="24"/>
          <w:szCs w:val="24"/>
          <w:bdr w:val="none" w:sz="0" w:space="0" w:color="auto" w:frame="1"/>
          <w:shd w:val="clear" w:color="auto" w:fill="FFFFFF"/>
        </w:rPr>
        <w:t>проявление на принципа на добра администрация, който е общ принцип на правото на Съюза</w:t>
      </w:r>
      <w:r w:rsidRPr="007807CD">
        <w:rPr>
          <w:rFonts w:ascii="Times New Roman" w:hAnsi="Times New Roman"/>
          <w:sz w:val="24"/>
          <w:szCs w:val="24"/>
          <w:bdr w:val="none" w:sz="0" w:space="0" w:color="auto" w:frame="1"/>
          <w:shd w:val="clear" w:color="auto" w:fill="FFFFFF"/>
        </w:rPr>
        <w:t xml:space="preserve"> (разяснения по чл. 41 от Разяснения относно Хартата на основните права и решение на СЕС от 8 май 2014 г. по дело С-604/12, т. 49 и 50). Проявление на този принцип е прогласеното в чл. 41 от Хартата на основните права на Европейския съюз право на добра администрация, част от съдържанието на което е и мотивираността на решенията на администрацията. Настоящият съдебен състав на касационната инстанция преценява, че в конкретния случай административният орган, който в дейността си по проверка и преценка на подаденото заявление прилага и право на ЕС (Регламент №73/2009 на Съвета и Регламент № 1122/2009 на Комисията) с допуснатите от него нарушения в конкретния случай, изразяващи се в предоставянето на заявителя на графичен материал с неактуална информация относно границите на референтните парцели и допустимите за подпомагане площи, както и липсата на конкретни мотиви в УП, е нарушил принципа на добра администрация.“</w:t>
      </w:r>
    </w:p>
    <w:p w:rsidR="005572BD" w:rsidRPr="007807CD" w:rsidRDefault="005572BD" w:rsidP="007807CD">
      <w:pPr>
        <w:shd w:val="clear" w:color="auto" w:fill="FFFFFF"/>
        <w:spacing w:after="0" w:line="360" w:lineRule="auto"/>
        <w:ind w:firstLine="540"/>
        <w:jc w:val="both"/>
        <w:rPr>
          <w:rFonts w:ascii="Times New Roman" w:hAnsi="Times New Roman"/>
          <w:sz w:val="24"/>
          <w:szCs w:val="24"/>
          <w:bdr w:val="none" w:sz="0" w:space="0" w:color="auto" w:frame="1"/>
          <w:shd w:val="clear" w:color="auto" w:fill="FFFFFF"/>
        </w:rPr>
      </w:pPr>
      <w:r w:rsidRPr="007807CD">
        <w:rPr>
          <w:rFonts w:ascii="Times New Roman" w:hAnsi="Times New Roman"/>
          <w:b/>
          <w:sz w:val="24"/>
          <w:szCs w:val="24"/>
          <w:bdr w:val="none" w:sz="0" w:space="0" w:color="auto" w:frame="1"/>
          <w:shd w:val="clear" w:color="auto" w:fill="FFFFFF"/>
        </w:rPr>
        <w:t xml:space="preserve">В Решение № 720 от </w:t>
      </w:r>
      <w:r w:rsidRPr="007807CD">
        <w:rPr>
          <w:rFonts w:ascii="Times New Roman" w:hAnsi="Times New Roman"/>
          <w:b/>
          <w:bCs/>
          <w:sz w:val="24"/>
          <w:szCs w:val="24"/>
          <w:bdr w:val="none" w:sz="0" w:space="0" w:color="auto" w:frame="1"/>
        </w:rPr>
        <w:t>17.01.2018</w:t>
      </w:r>
      <w:r w:rsidRPr="007807CD">
        <w:rPr>
          <w:rFonts w:ascii="Times New Roman" w:hAnsi="Times New Roman"/>
          <w:b/>
          <w:sz w:val="24"/>
          <w:szCs w:val="24"/>
          <w:bdr w:val="none" w:sz="0" w:space="0" w:color="auto" w:frame="1"/>
        </w:rPr>
        <w:t xml:space="preserve"> по адм. дело № 8386/2017 на ВАС, Трето отделение,</w:t>
      </w:r>
      <w:r w:rsidRPr="007807CD">
        <w:rPr>
          <w:rFonts w:ascii="Times New Roman" w:hAnsi="Times New Roman"/>
          <w:sz w:val="24"/>
          <w:szCs w:val="24"/>
          <w:bdr w:val="none" w:sz="0" w:space="0" w:color="auto" w:frame="1"/>
        </w:rPr>
        <w:t xml:space="preserve"> </w:t>
      </w:r>
      <w:r w:rsidRPr="007807CD">
        <w:rPr>
          <w:rFonts w:ascii="Times New Roman" w:hAnsi="Times New Roman"/>
          <w:b/>
          <w:sz w:val="24"/>
          <w:szCs w:val="24"/>
          <w:bdr w:val="none" w:sz="0" w:space="0" w:color="auto" w:frame="1"/>
        </w:rPr>
        <w:t>с докладчик съдия Ваня Пунева</w:t>
      </w:r>
      <w:r w:rsidRPr="007807CD">
        <w:rPr>
          <w:rFonts w:ascii="Times New Roman" w:hAnsi="Times New Roman"/>
          <w:sz w:val="24"/>
          <w:szCs w:val="24"/>
          <w:bdr w:val="none" w:sz="0" w:space="0" w:color="auto" w:frame="1"/>
        </w:rPr>
        <w:t xml:space="preserve"> се посочва:</w:t>
      </w:r>
      <w:r w:rsidRPr="007807CD">
        <w:rPr>
          <w:rFonts w:ascii="Times New Roman" w:hAnsi="Times New Roman"/>
          <w:sz w:val="24"/>
          <w:szCs w:val="24"/>
          <w:bdr w:val="none" w:sz="0" w:space="0" w:color="auto" w:frame="1"/>
          <w:shd w:val="clear" w:color="auto" w:fill="FFFFFF"/>
        </w:rPr>
        <w:t xml:space="preserve"> „Настоящият казус е и пример и за нарушаване на правото на добра администрация, съгласно чл. 41 от Хартата на основаните права на Европейския съюз (Хартата).</w:t>
      </w:r>
      <w:r w:rsidRPr="007807CD">
        <w:rPr>
          <w:rFonts w:ascii="Times New Roman" w:hAnsi="Times New Roman"/>
          <w:sz w:val="24"/>
          <w:szCs w:val="24"/>
          <w:bdr w:val="none" w:sz="0" w:space="0" w:color="auto" w:frame="1"/>
          <w:shd w:val="clear" w:color="auto" w:fill="FFFFFF"/>
        </w:rPr>
        <w:br/>
        <w:t>Съгласно чл. 41, т. 1 от Хартата, всеки има право засягащите го въпроси да бъдат разглеждани от институциите, органите, службите и агенциите на Съюза безпристрастно, справедливо и в разумен срок.</w:t>
      </w:r>
    </w:p>
    <w:p w:rsidR="005572BD" w:rsidRPr="007807CD" w:rsidRDefault="005572BD" w:rsidP="007807CD">
      <w:pPr>
        <w:shd w:val="clear" w:color="auto" w:fill="FFFFFF"/>
        <w:spacing w:after="0" w:line="360" w:lineRule="auto"/>
        <w:ind w:firstLine="540"/>
        <w:jc w:val="both"/>
        <w:rPr>
          <w:rFonts w:ascii="Times New Roman" w:hAnsi="Times New Roman"/>
          <w:sz w:val="24"/>
          <w:szCs w:val="24"/>
          <w:bdr w:val="none" w:sz="0" w:space="0" w:color="auto" w:frame="1"/>
          <w:shd w:val="clear" w:color="auto" w:fill="FFFFFF"/>
        </w:rPr>
      </w:pPr>
      <w:r w:rsidRPr="007807CD">
        <w:rPr>
          <w:rFonts w:ascii="Times New Roman" w:hAnsi="Times New Roman"/>
          <w:sz w:val="24"/>
          <w:szCs w:val="24"/>
          <w:bdr w:val="none" w:sz="0" w:space="0" w:color="auto" w:frame="1"/>
          <w:shd w:val="clear" w:color="auto" w:fill="FFFFFF"/>
        </w:rPr>
        <w:t>Съгласно чл. 41, т. 2, б. „а“ от Хартата, правото на добра администрация включва по-специално правото на всяко лице да бъде изслушано, преди срещу него да бъде предприета индивидуална мярка, която би имала неблагоприятни последици за него. Съгласно чл. 51 от Хартата, разпоредбите на хартата се отнасят за институциите, органите, службите и агенциите на Съюза, при зачитане на принципа на субсидиарност, както и за държавите-членки, единствено когато те прилагат правото на Съюза. В този смисъл те зачитат правата, спазват принципите и насърчават тяхното прилагане в съответствие със своите компетенции и при зачитане на предоставените в Договорите компетенции на Съюза.</w:t>
      </w:r>
    </w:p>
    <w:p w:rsidR="005572BD" w:rsidRPr="007807CD" w:rsidRDefault="005572BD" w:rsidP="007807CD">
      <w:pPr>
        <w:shd w:val="clear" w:color="auto" w:fill="FFFFFF"/>
        <w:spacing w:after="0" w:line="360" w:lineRule="auto"/>
        <w:ind w:firstLine="540"/>
        <w:jc w:val="both"/>
        <w:rPr>
          <w:rFonts w:ascii="Times New Roman" w:hAnsi="Times New Roman"/>
          <w:sz w:val="24"/>
          <w:szCs w:val="24"/>
          <w:bdr w:val="none" w:sz="0" w:space="0" w:color="auto" w:frame="1"/>
          <w:shd w:val="clear" w:color="auto" w:fill="FFFFFF"/>
        </w:rPr>
      </w:pPr>
      <w:r w:rsidRPr="007807CD">
        <w:rPr>
          <w:rFonts w:ascii="Times New Roman" w:hAnsi="Times New Roman"/>
          <w:sz w:val="24"/>
          <w:szCs w:val="24"/>
          <w:bdr w:val="none" w:sz="0" w:space="0" w:color="auto" w:frame="1"/>
          <w:shd w:val="clear" w:color="auto" w:fill="FFFFFF"/>
        </w:rPr>
        <w:t>Съгласно § 2в от ДР на ЗВ, този закон въвежда изискванията на Директива 2000/60/ЕО на Европейския парламент и на Съвета от 23 октомври 2000 г. за установяване на рамка за действията на Общността в областта на политиката за водите, Директива 2007/60/ЕО на Европейския парламент и на Съвета от 23 октомври 2007 г. относно оценката и управлението на риска от наводнения (OB, L 288/27 от 6 ноември 2007 г.) и чл. 11 и 12 на Директива 2008/105/ЕО на Европейския парламент и на Съвета от 16 декември 2008 г. за определяне на стандарти за качество на околната среда в областта на политиката за водите, за изменение и последваща отмяна на директиви 82/176/ЕИО, 83/513/ЕИО, 84/156/ЕИО, 84/491/ЕИО, 86/280/ЕИО на Съвета и за изменение на Директива 2000/60/ЕО на Европейския парламент и на Съвета (ОВ, L 348/84 от 24 декември 2008 г.). Касационната инстанция намира, че директорът на БДДР като орган на държава-членка, прилагаща правото на Съюза по отношение на постигането на целите за устойчиво и рационално използване на водите, чрез правомощията си по чл. 79а от ЗВ, е бил длъжен да зачете правото на [фирма] на добра администрация чрез участието му в производството, преди срещу дружеството да бъде издаден процесният неблагоприятен за него акт.“</w:t>
      </w:r>
    </w:p>
    <w:p w:rsidR="005572BD" w:rsidRPr="007807CD" w:rsidRDefault="005572BD" w:rsidP="007807CD">
      <w:pPr>
        <w:spacing w:after="0" w:line="360" w:lineRule="auto"/>
        <w:ind w:firstLine="540"/>
        <w:jc w:val="both"/>
        <w:rPr>
          <w:rFonts w:ascii="Times New Roman" w:hAnsi="Times New Roman"/>
          <w:sz w:val="24"/>
          <w:szCs w:val="24"/>
          <w:shd w:val="clear" w:color="auto" w:fill="FEFEFE"/>
        </w:rPr>
      </w:pPr>
      <w:r w:rsidRPr="007807CD">
        <w:rPr>
          <w:rFonts w:ascii="Times New Roman" w:hAnsi="Times New Roman"/>
          <w:sz w:val="24"/>
          <w:szCs w:val="24"/>
        </w:rPr>
        <w:t xml:space="preserve"> </w:t>
      </w:r>
      <w:r w:rsidRPr="007807CD">
        <w:rPr>
          <w:rFonts w:ascii="Times New Roman" w:hAnsi="Times New Roman"/>
          <w:b/>
          <w:bCs/>
          <w:sz w:val="24"/>
          <w:szCs w:val="24"/>
          <w:highlight w:val="white"/>
          <w:shd w:val="clear" w:color="auto" w:fill="FEFEFE"/>
        </w:rPr>
        <w:t>Решение № 8524 ОТ 25.06.2018 г. по адм. д. № 14082/2017 г., VІІ отд. на ВАС, с докладчик съдия Соня Янкулова се посочва</w:t>
      </w:r>
      <w:r w:rsidRPr="007807CD">
        <w:rPr>
          <w:rFonts w:ascii="Times New Roman" w:hAnsi="Times New Roman"/>
          <w:b/>
          <w:bCs/>
          <w:sz w:val="24"/>
          <w:szCs w:val="24"/>
          <w:shd w:val="clear" w:color="auto" w:fill="FEFEFE"/>
        </w:rPr>
        <w:t>:</w:t>
      </w:r>
      <w:r w:rsidRPr="007807CD">
        <w:rPr>
          <w:rFonts w:ascii="Times New Roman" w:hAnsi="Times New Roman"/>
          <w:sz w:val="24"/>
          <w:szCs w:val="24"/>
          <w:shd w:val="clear" w:color="auto" w:fill="FEFEFE"/>
        </w:rPr>
        <w:t xml:space="preserve"> „Съгласно чл. 41 от Хартата на основните права на Европейския съюз (Хартата) основно право на правните субекти е правото на добра администрация. Съгласно тази разпоредба правото на добра администрация включва: 1) правото на всяко лице да бъде изслушвано преди срещу него да бъде предприета индивидуална мярка, която би имала неблагоприятни последици за него; 2) правото на достъп до документите, които се отнасят до него; 3) задължение на администрацията да мотивира решението си. Съгласно чл. 51 от Хартата тя е приложима от държавите членки, когато прилагат правото на Съюза. Предоставянето на безвъзмездна финансова помощ от Европейския социален фонд е пряко приложение на правото на Съюза, което значи и задължение на националните органи, отговорни за приложимостта на право, да спазват разпоредбата на чл. 41 от Хартата. Разпоредбите на чл. 41 от Хартата, с оглед на чл. 6 (1) от Договора за Европейския съюз (ДЕС), имат юридическата сила на първично право. Те изразяват общ принцип в правото на Европейския съюз, спазването на който Съдът на Европейския съюз в практиката си неотклонно изисква, защото е елемент на правото на защита – Решение от 18 декември 2008, Sopropé, С-349/07, EU:C:2008:746, точка 37; решение от 1 октомври 2009, Foshan Shunde, С-141/08Р, EU:C:2009:598, точка 83. </w:t>
      </w:r>
    </w:p>
    <w:p w:rsidR="005572BD" w:rsidRPr="007807CD" w:rsidRDefault="005572BD" w:rsidP="007807CD">
      <w:pPr>
        <w:spacing w:after="0" w:line="360" w:lineRule="auto"/>
        <w:ind w:firstLine="540"/>
        <w:jc w:val="both"/>
        <w:rPr>
          <w:rFonts w:ascii="Times New Roman" w:hAnsi="Times New Roman"/>
          <w:sz w:val="24"/>
          <w:szCs w:val="24"/>
          <w:shd w:val="clear" w:color="auto" w:fill="FEFEFE"/>
        </w:rPr>
      </w:pPr>
      <w:r w:rsidRPr="007807CD">
        <w:rPr>
          <w:rFonts w:ascii="Times New Roman" w:hAnsi="Times New Roman"/>
          <w:sz w:val="24"/>
          <w:szCs w:val="24"/>
          <w:shd w:val="clear" w:color="auto" w:fill="FEFEFE"/>
        </w:rPr>
        <w:t>Съдът на Европейския съюз е наложил правото на правните субекти да бъдат изслушани преди спрямо тях да се издаде акт, налагащ им неблагоприятна мярка, като общо правило в правото на Съюза независимо дали това право изрично е регламентирано в съответния акт на правото на Съюза, регламентиращ процесните правоотношения. В практиката си Съдът изрично приема, че „това задължение тежи върху административните органи на държавите членки, когато те вземат решения, попадащи в приложното поле на общностното право, дори когато приложимото общностно законодателство не предвижда изрично подобно изискване“ – Решение от 18 декември 2008, Sopropé, С-349/07, EU:C:2008:746, точка 38; решение от 01 октомври 2009, Foshan Shunde, С-141/08Р, EU:C:2009:598, точка 83. Ноторно е, че влезлият в сила нормативен акт, в т.ч. акт на първичното право на Съюза, е задължителен не само за гражданите и за юридическите лица, но и за административните органи. С оглед на това постановяването на акта от 25.03.2016 г., без на бенефициера да е дадена възможност да вземе становище по решението на органа да отмени верификацията на разходи по проекта, е съществено нарушение на административно-производствените правила и самостоятелно основание за отмяна на акт.“</w:t>
      </w:r>
    </w:p>
    <w:p w:rsidR="005572BD" w:rsidRPr="007807CD" w:rsidRDefault="005572BD" w:rsidP="007807CD">
      <w:pPr>
        <w:spacing w:after="0" w:line="360" w:lineRule="auto"/>
        <w:ind w:firstLine="540"/>
        <w:jc w:val="both"/>
        <w:rPr>
          <w:rFonts w:ascii="Times New Roman" w:hAnsi="Times New Roman"/>
          <w:sz w:val="24"/>
          <w:szCs w:val="24"/>
          <w:shd w:val="clear" w:color="auto" w:fill="FEFEFE"/>
        </w:rPr>
      </w:pPr>
    </w:p>
    <w:p w:rsidR="005572BD" w:rsidRPr="007807CD" w:rsidRDefault="005572BD" w:rsidP="007807CD">
      <w:pPr>
        <w:spacing w:after="0" w:line="360" w:lineRule="auto"/>
        <w:ind w:firstLine="540"/>
        <w:jc w:val="both"/>
        <w:rPr>
          <w:rFonts w:ascii="Times New Roman" w:hAnsi="Times New Roman"/>
          <w:sz w:val="24"/>
          <w:szCs w:val="24"/>
          <w:shd w:val="clear" w:color="auto" w:fill="FEFEFE"/>
        </w:rPr>
      </w:pPr>
    </w:p>
    <w:p w:rsidR="005572BD" w:rsidRPr="007807CD" w:rsidRDefault="005572BD" w:rsidP="007807CD">
      <w:pPr>
        <w:spacing w:after="0" w:line="360" w:lineRule="auto"/>
        <w:ind w:firstLine="540"/>
        <w:jc w:val="both"/>
        <w:rPr>
          <w:rFonts w:ascii="Times New Roman" w:hAnsi="Times New Roman"/>
          <w:b/>
          <w:sz w:val="24"/>
          <w:szCs w:val="24"/>
        </w:rPr>
      </w:pPr>
      <w:r w:rsidRPr="007807CD">
        <w:rPr>
          <w:rFonts w:ascii="Times New Roman" w:hAnsi="Times New Roman"/>
          <w:b/>
          <w:sz w:val="24"/>
          <w:szCs w:val="24"/>
        </w:rPr>
        <w:t xml:space="preserve">5. Защита на ПЧ при подаване на сигнали за незаконосъобразни практики и други нередности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Темата е особено актуална на фона на сигналите за нарушения на международното право по време на военни конфликти и хуманитарни кризи, подадени от служители на военните и разузнавателните сили на различни държави, както и за нелоялни данъчни практики, подадени от професионалисти от областта на данъчното, облагане, счетоводството и одита.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В областта на данъчното облагане, скандалът "LuxLeaks" разкри изгодни данъчни споразумения (т. нар. „едикти“), сключени от одиторските фирми с люксембургските данъчни власти от името на мултинационални компании за по-облекчено данъчно третиране на печалбите на тези компании в сравнение с държавите, където са реализирани. Споразумения са разкрити през ноември 2014 г. с помощта на разследване от страна на Международния консорциум от разследващи журналисти (ICIJ)</w:t>
      </w:r>
      <w:r w:rsidRPr="007807CD">
        <w:rPr>
          <w:rStyle w:val="FootnoteReference"/>
          <w:rFonts w:ascii="Times New Roman" w:hAnsi="Times New Roman"/>
          <w:sz w:val="24"/>
          <w:szCs w:val="24"/>
        </w:rPr>
        <w:footnoteReference w:id="68"/>
      </w:r>
      <w:r w:rsidRPr="007807CD">
        <w:rPr>
          <w:rFonts w:ascii="Times New Roman" w:hAnsi="Times New Roman"/>
          <w:sz w:val="24"/>
          <w:szCs w:val="24"/>
        </w:rPr>
        <w:t xml:space="preserve"> въз основа на свидетелски показания и документи за нарушения, подадени от авторите на сигнали Антоан Делкур и Рафаел Халет, служители на световноизвестна одиторска фирма, установена в Люксембург</w:t>
      </w:r>
      <w:r w:rsidRPr="007807CD">
        <w:rPr>
          <w:rStyle w:val="FootnoteReference"/>
          <w:rFonts w:ascii="Times New Roman" w:hAnsi="Times New Roman"/>
          <w:sz w:val="24"/>
          <w:szCs w:val="24"/>
        </w:rPr>
        <w:footnoteReference w:id="69"/>
      </w:r>
      <w:r w:rsidRPr="007807CD">
        <w:rPr>
          <w:rFonts w:ascii="Times New Roman" w:hAnsi="Times New Roman"/>
          <w:sz w:val="24"/>
          <w:szCs w:val="24"/>
        </w:rPr>
        <w:t xml:space="preserve">. В отговор на тези сигнали държавите предприеха законодателни мерки за защита на данъчните си приходи, като например изцяло новото американско законодателство с екстра-териториална насоченост или т. нар. </w:t>
      </w:r>
      <w:r w:rsidRPr="007807CD">
        <w:rPr>
          <w:rFonts w:ascii="Times New Roman" w:hAnsi="Times New Roman"/>
          <w:i/>
          <w:sz w:val="24"/>
          <w:szCs w:val="24"/>
        </w:rPr>
        <w:t>FATCA</w:t>
      </w:r>
      <w:r w:rsidRPr="007807CD">
        <w:rPr>
          <w:rStyle w:val="FootnoteReference"/>
          <w:rFonts w:ascii="Times New Roman" w:hAnsi="Times New Roman"/>
          <w:i/>
          <w:sz w:val="24"/>
          <w:szCs w:val="24"/>
        </w:rPr>
        <w:footnoteReference w:id="70"/>
      </w:r>
      <w:r w:rsidRPr="007807CD">
        <w:rPr>
          <w:rFonts w:ascii="Times New Roman" w:hAnsi="Times New Roman"/>
          <w:sz w:val="24"/>
          <w:szCs w:val="24"/>
        </w:rPr>
        <w:t xml:space="preserve"> за установяване и възпрепятстване на случаите на избягване на плащането на данъци от американски граждани или жители, които пряко или непряко инвестират извън Съединените американски щати чрез чуждестранни финансови институции.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В момента около 60 държави по света са въвели глобална законодателна защита за лицата, които подават сигнали за нередности (Южна Африка, Франция, Унгария, Южна Корея), а останалите имат секторен подход: пр. само в данъчната област. Най-общо, понятието за лице, подаващо сигнали, не обхваща професионалистите, т.е. журналистите. В повечето държави, особено държавите членки на Съвета на ЕС, понятието обхваща и защитава представителите на определен професионален сектор, т. н. „вътрешни хора“. А в други държави, то не се ограничава и обхваща всяко лице (пр.: Франция – всяко лице, използващо административни услуги). Относно начините за разпространение се разграничават два подхода: 1. Законово опровержение: лицето, подало сигнала, действа в рамките на закона – за него това е право, а в някои страни дори задължение (пр. данъчни измами), и 2. гражданска инициатива: такова лице има съзнание, че излиза извън рамките на закона (пр. Брадли Манинг, Едуард Сноудън). Изключенията от защитата на такива сигнали касаят неточните сигнали и професионалистите в областта на подаване на сигнали (пр.: НПО, Грийнпийс).</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В основанието на правото да се подават сигнали са правото на свободно изразяване и правото на всеки гражданин да бъде информиран. При упражняване на правото за подаване на сигнали се сблъскват разнопосочни интереси и съображения, като общественият интерес, задължението за добросъвестност, задължението да се действа безкористно, задължението да се използват пропорционални способи за подаване на сигнали (тоест, да се премине първо през административно производство, а след това да се подава информация навън).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За защитата на авторите на сигнали е изготвена Препоръка на Съвета на министрите на Съвета на Европа</w:t>
      </w:r>
      <w:r w:rsidRPr="007807CD">
        <w:rPr>
          <w:rStyle w:val="FootnoteReference"/>
          <w:rFonts w:ascii="Times New Roman" w:hAnsi="Times New Roman"/>
          <w:sz w:val="24"/>
          <w:szCs w:val="24"/>
        </w:rPr>
        <w:footnoteReference w:id="71"/>
      </w:r>
      <w:r w:rsidRPr="007807CD">
        <w:rPr>
          <w:rFonts w:ascii="Times New Roman" w:hAnsi="Times New Roman"/>
          <w:sz w:val="24"/>
          <w:szCs w:val="24"/>
        </w:rPr>
        <w:t xml:space="preserve"> от 30.10.2014 г. Тази препоръка установява стандарти за защитата им, като приемане на законодателство за глобална защита, защита срещу наказателни мерки (директни и косвени) от страна на работодателя, обръщане на доказателствената тежест, освобождаване от гражданска, административна и наказателна отговорност, признаване на статута „автор на сигнал“ от националния съдия, създаване на институция, която да придружава автора на сигнали, вменяване на наказателна отговорност на лицата, които се стремят да или потискат подаването на сигнали.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На държавите се препоръчва да предвидят тристепенна процедура, която да се използва за подаване на сигнали: </w:t>
      </w:r>
    </w:p>
    <w:p w:rsidR="005572BD" w:rsidRPr="007807CD" w:rsidRDefault="005572BD" w:rsidP="007807CD">
      <w:pPr>
        <w:pStyle w:val="ListParagraph"/>
        <w:numPr>
          <w:ilvl w:val="0"/>
          <w:numId w:val="6"/>
        </w:numPr>
        <w:spacing w:after="0" w:line="360" w:lineRule="auto"/>
        <w:ind w:left="0" w:firstLine="540"/>
        <w:jc w:val="both"/>
        <w:rPr>
          <w:rFonts w:ascii="Times New Roman" w:hAnsi="Times New Roman"/>
          <w:sz w:val="24"/>
          <w:szCs w:val="24"/>
        </w:rPr>
      </w:pPr>
      <w:r w:rsidRPr="007807CD">
        <w:rPr>
          <w:rFonts w:ascii="Times New Roman" w:hAnsi="Times New Roman"/>
          <w:sz w:val="24"/>
          <w:szCs w:val="24"/>
        </w:rPr>
        <w:t>вътрешно ниво, в рамките на което на сигналите следва да се отговаря в разумен срок;</w:t>
      </w:r>
    </w:p>
    <w:p w:rsidR="005572BD" w:rsidRPr="007807CD" w:rsidRDefault="005572BD" w:rsidP="007807CD">
      <w:pPr>
        <w:pStyle w:val="ListParagraph"/>
        <w:numPr>
          <w:ilvl w:val="0"/>
          <w:numId w:val="6"/>
        </w:numPr>
        <w:spacing w:after="0" w:line="360" w:lineRule="auto"/>
        <w:ind w:left="0" w:firstLine="540"/>
        <w:jc w:val="both"/>
        <w:rPr>
          <w:rFonts w:ascii="Times New Roman" w:hAnsi="Times New Roman"/>
          <w:sz w:val="24"/>
          <w:szCs w:val="24"/>
        </w:rPr>
      </w:pPr>
      <w:r w:rsidRPr="007807CD">
        <w:rPr>
          <w:rFonts w:ascii="Times New Roman" w:hAnsi="Times New Roman"/>
          <w:sz w:val="24"/>
          <w:szCs w:val="24"/>
        </w:rPr>
        <w:t>външно ниво – сигналите да се разглеждат от регулаторни органи;</w:t>
      </w:r>
    </w:p>
    <w:p w:rsidR="005572BD" w:rsidRPr="007807CD" w:rsidRDefault="005572BD" w:rsidP="007807CD">
      <w:pPr>
        <w:pStyle w:val="ListParagraph"/>
        <w:numPr>
          <w:ilvl w:val="0"/>
          <w:numId w:val="6"/>
        </w:numPr>
        <w:spacing w:after="0" w:line="360" w:lineRule="auto"/>
        <w:ind w:left="0" w:firstLine="540"/>
        <w:jc w:val="both"/>
        <w:rPr>
          <w:rFonts w:ascii="Times New Roman" w:hAnsi="Times New Roman"/>
          <w:sz w:val="24"/>
          <w:szCs w:val="24"/>
        </w:rPr>
      </w:pPr>
      <w:r w:rsidRPr="007807CD">
        <w:rPr>
          <w:rFonts w:ascii="Times New Roman" w:hAnsi="Times New Roman"/>
          <w:sz w:val="24"/>
          <w:szCs w:val="24"/>
        </w:rPr>
        <w:t xml:space="preserve">публична сфера – подаване на сигнали към НПО, журналисти и др.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Френското законодателство в областта на защитата на авторите на сигнали е известно като Закон „Сапен 2“ от 2016 г. (на името на депутата-вносител на законопроекта в парламента)</w:t>
      </w:r>
      <w:r w:rsidRPr="007807CD">
        <w:rPr>
          <w:rStyle w:val="FootnoteReference"/>
          <w:rFonts w:ascii="Times New Roman" w:hAnsi="Times New Roman"/>
          <w:sz w:val="24"/>
          <w:szCs w:val="24"/>
        </w:rPr>
        <w:footnoteReference w:id="72"/>
      </w:r>
      <w:r w:rsidRPr="007807CD">
        <w:rPr>
          <w:rFonts w:ascii="Times New Roman" w:hAnsi="Times New Roman"/>
          <w:sz w:val="24"/>
          <w:szCs w:val="24"/>
        </w:rPr>
        <w:t xml:space="preserve">. Нормата възпроизвежда в значителна степен упоменатата по-горе препоръка на Съвета на Европа. В този закон, предназначен специално да защитава авторите на сигнали, се съдържа широко определение за „автор на сигнал“ – такъв може да бъде всяко физическо лице, което действа добросъвестно и не с цел извличане на печалба. Предвидено е освобождаване от наказателна отговорност за лицата, подаващи сигнали, но от обхвата на закона са изключени: тайната на националната отбрана, лекарската тайна и професионалната тайна между адвокат и клиент. Предвидено е ангажиране на наказателна отговорност в случай на разкриване на тайната на сигнала, както и защита за застъпниците на правото на подаване на сигнали. </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Френската доктрина посочва няколко недостатъка на Закона „Сапен” в следните аспекти:</w:t>
      </w:r>
    </w:p>
    <w:p w:rsidR="005572BD" w:rsidRPr="007807CD" w:rsidRDefault="005572BD" w:rsidP="007807CD">
      <w:pPr>
        <w:pStyle w:val="ListParagraph"/>
        <w:numPr>
          <w:ilvl w:val="0"/>
          <w:numId w:val="5"/>
        </w:numPr>
        <w:spacing w:after="0" w:line="360" w:lineRule="auto"/>
        <w:ind w:left="0" w:firstLine="540"/>
        <w:jc w:val="both"/>
        <w:rPr>
          <w:rFonts w:ascii="Times New Roman" w:hAnsi="Times New Roman"/>
          <w:sz w:val="24"/>
          <w:szCs w:val="24"/>
        </w:rPr>
      </w:pPr>
      <w:r w:rsidRPr="007807CD">
        <w:rPr>
          <w:rFonts w:ascii="Times New Roman" w:hAnsi="Times New Roman"/>
          <w:sz w:val="24"/>
          <w:szCs w:val="24"/>
        </w:rPr>
        <w:t xml:space="preserve">Липсва орган, който да подпомага авторите на сигнали в рамките на съдебно производство. Тази функция е поета към настоящия момент от НПО-та (23 НПО-та са се обединили в асоциация, създадена специално за тази цел). </w:t>
      </w:r>
    </w:p>
    <w:p w:rsidR="005572BD" w:rsidRPr="007807CD" w:rsidRDefault="005572BD" w:rsidP="007807CD">
      <w:pPr>
        <w:pStyle w:val="ListParagraph"/>
        <w:numPr>
          <w:ilvl w:val="0"/>
          <w:numId w:val="5"/>
        </w:numPr>
        <w:spacing w:after="0" w:line="360" w:lineRule="auto"/>
        <w:ind w:left="0" w:firstLine="540"/>
        <w:jc w:val="both"/>
        <w:rPr>
          <w:rFonts w:ascii="Times New Roman" w:hAnsi="Times New Roman"/>
          <w:sz w:val="24"/>
          <w:szCs w:val="24"/>
        </w:rPr>
      </w:pPr>
      <w:r w:rsidRPr="007807CD">
        <w:rPr>
          <w:rFonts w:ascii="Times New Roman" w:hAnsi="Times New Roman"/>
          <w:sz w:val="24"/>
          <w:szCs w:val="24"/>
        </w:rPr>
        <w:t xml:space="preserve"> Освобождаването от наказателна отговорност е с ограничен обхват (само в случаите на нарушаване на професионалната тайна), т.е. могат да бъдат образувани наказателни производства за кражба, клевета и др., като в наказателно-правен аспект тежестта на доказване не е обърната; </w:t>
      </w:r>
    </w:p>
    <w:p w:rsidR="005572BD" w:rsidRPr="007807CD" w:rsidRDefault="005572BD" w:rsidP="007807CD">
      <w:pPr>
        <w:pStyle w:val="ListParagraph"/>
        <w:numPr>
          <w:ilvl w:val="0"/>
          <w:numId w:val="5"/>
        </w:numPr>
        <w:spacing w:after="0" w:line="360" w:lineRule="auto"/>
        <w:ind w:left="0" w:firstLine="540"/>
        <w:jc w:val="both"/>
        <w:rPr>
          <w:rFonts w:ascii="Times New Roman" w:hAnsi="Times New Roman"/>
          <w:sz w:val="24"/>
          <w:szCs w:val="24"/>
        </w:rPr>
      </w:pPr>
      <w:r w:rsidRPr="007807CD">
        <w:rPr>
          <w:rFonts w:ascii="Times New Roman" w:hAnsi="Times New Roman"/>
          <w:sz w:val="24"/>
          <w:szCs w:val="24"/>
        </w:rPr>
        <w:t xml:space="preserve"> Не е предвидена достатъчна гъвкавост между различните степени на защита, т.е. възможността на автор на сигнал да прескочи вътрешното ниво и директно да се обърне към регулаторен орган или към широката публика; </w:t>
      </w:r>
    </w:p>
    <w:p w:rsidR="005572BD" w:rsidRPr="007807CD" w:rsidRDefault="005572BD" w:rsidP="007807CD">
      <w:pPr>
        <w:pStyle w:val="ListParagraph"/>
        <w:numPr>
          <w:ilvl w:val="0"/>
          <w:numId w:val="5"/>
        </w:numPr>
        <w:spacing w:after="0" w:line="360" w:lineRule="auto"/>
        <w:ind w:left="0" w:firstLine="540"/>
        <w:jc w:val="both"/>
        <w:rPr>
          <w:rFonts w:ascii="Times New Roman" w:hAnsi="Times New Roman"/>
          <w:sz w:val="24"/>
          <w:szCs w:val="24"/>
        </w:rPr>
      </w:pPr>
      <w:r w:rsidRPr="007807CD">
        <w:rPr>
          <w:rFonts w:ascii="Times New Roman" w:hAnsi="Times New Roman"/>
          <w:sz w:val="24"/>
          <w:szCs w:val="24"/>
        </w:rPr>
        <w:t xml:space="preserve">не е предвидено как да се защитят авторите на сигнали, които не действат в професионалното си качество; </w:t>
      </w:r>
    </w:p>
    <w:p w:rsidR="005572BD" w:rsidRPr="007807CD" w:rsidRDefault="005572BD" w:rsidP="007807CD">
      <w:pPr>
        <w:pStyle w:val="ListParagraph"/>
        <w:numPr>
          <w:ilvl w:val="0"/>
          <w:numId w:val="5"/>
        </w:numPr>
        <w:spacing w:after="0" w:line="360" w:lineRule="auto"/>
        <w:ind w:left="0" w:firstLine="540"/>
        <w:jc w:val="both"/>
        <w:rPr>
          <w:rFonts w:ascii="Times New Roman" w:hAnsi="Times New Roman"/>
          <w:sz w:val="24"/>
          <w:szCs w:val="24"/>
        </w:rPr>
      </w:pPr>
      <w:r w:rsidRPr="007807CD">
        <w:rPr>
          <w:rFonts w:ascii="Times New Roman" w:hAnsi="Times New Roman"/>
          <w:sz w:val="24"/>
          <w:szCs w:val="24"/>
        </w:rPr>
        <w:t xml:space="preserve"> изключване на юридическите лица от обхвата на закона – би могло да се защитят като лица, улесняващи подаването на сигнали; </w:t>
      </w:r>
    </w:p>
    <w:p w:rsidR="005572BD" w:rsidRPr="007807CD" w:rsidRDefault="005572BD" w:rsidP="007807CD">
      <w:pPr>
        <w:pStyle w:val="ListParagraph"/>
        <w:numPr>
          <w:ilvl w:val="0"/>
          <w:numId w:val="5"/>
        </w:numPr>
        <w:spacing w:after="0" w:line="360" w:lineRule="auto"/>
        <w:ind w:left="0" w:firstLine="540"/>
        <w:jc w:val="both"/>
        <w:rPr>
          <w:rFonts w:ascii="Times New Roman" w:hAnsi="Times New Roman"/>
          <w:sz w:val="24"/>
          <w:szCs w:val="24"/>
        </w:rPr>
      </w:pPr>
      <w:r w:rsidRPr="007807CD">
        <w:rPr>
          <w:rFonts w:ascii="Times New Roman" w:hAnsi="Times New Roman"/>
          <w:sz w:val="24"/>
          <w:szCs w:val="24"/>
        </w:rPr>
        <w:t xml:space="preserve"> Изключението от обхват на тайната, свързана с национална сигурност – достатъчно даден документ е да е класифициран с гриф за такава тайна, за да бъде изключен от рамките на закона.</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 xml:space="preserve">Тенденцията е за нарастваща интернационализация на защитата, като посоката, зададена от Съвета на Европа е от </w:t>
      </w:r>
      <w:r w:rsidRPr="007807CD">
        <w:rPr>
          <w:rFonts w:ascii="Times New Roman" w:hAnsi="Times New Roman"/>
          <w:i/>
          <w:sz w:val="24"/>
          <w:szCs w:val="24"/>
        </w:rPr>
        <w:t>soft law</w:t>
      </w:r>
      <w:r w:rsidRPr="007807CD">
        <w:rPr>
          <w:rFonts w:ascii="Times New Roman" w:hAnsi="Times New Roman"/>
          <w:sz w:val="24"/>
          <w:szCs w:val="24"/>
        </w:rPr>
        <w:t xml:space="preserve"> към правнообвързващи норми. В тази посока се развива и ЕС – на 16 април 2019 г. бе приета Директива относно защитата на авторите на сигнали</w:t>
      </w:r>
      <w:r w:rsidRPr="007807CD">
        <w:rPr>
          <w:rStyle w:val="FootnoteReference"/>
          <w:rFonts w:ascii="Times New Roman" w:hAnsi="Times New Roman"/>
          <w:sz w:val="24"/>
          <w:szCs w:val="24"/>
        </w:rPr>
        <w:footnoteReference w:id="73"/>
      </w:r>
      <w:r w:rsidRPr="007807CD">
        <w:rPr>
          <w:rFonts w:ascii="Times New Roman" w:hAnsi="Times New Roman"/>
          <w:sz w:val="24"/>
          <w:szCs w:val="24"/>
        </w:rPr>
        <w:t xml:space="preserve">, която при влизането си в сила на 1 януари 2021 г. ще допринесе в значителна степен за уеднаквяване на защитата на правото на подаване на сигнали. Директивата дава възможност за двустепенна процедура на защита, но изборът принадлежи на автора, който може да реши да прескочи вътрешното ниво и да активира външното ниво при риск за заличаване на доказателствата, което предоставя значителна гъвкавост. Директивата предвижда задължение за държавата да осигури юридическа подкрепа за авторите на сигнали чрез създаването на публичен орган или дотиране на НПО, които да поемат тази функция). </w:t>
      </w:r>
    </w:p>
    <w:p w:rsidR="005572BD" w:rsidRPr="007807CD" w:rsidRDefault="005572BD" w:rsidP="007807CD">
      <w:pPr>
        <w:spacing w:after="0" w:line="360" w:lineRule="auto"/>
        <w:ind w:firstLine="540"/>
        <w:jc w:val="both"/>
        <w:rPr>
          <w:rFonts w:ascii="Times New Roman" w:hAnsi="Times New Roman"/>
          <w:sz w:val="24"/>
          <w:szCs w:val="24"/>
        </w:rPr>
      </w:pPr>
    </w:p>
    <w:p w:rsidR="005572BD" w:rsidRPr="007807CD" w:rsidRDefault="005572BD" w:rsidP="007807CD">
      <w:pPr>
        <w:spacing w:after="0" w:line="360" w:lineRule="auto"/>
        <w:ind w:firstLine="540"/>
        <w:jc w:val="both"/>
        <w:rPr>
          <w:rFonts w:ascii="Times New Roman" w:hAnsi="Times New Roman"/>
          <w:sz w:val="24"/>
          <w:szCs w:val="24"/>
        </w:rPr>
      </w:pPr>
    </w:p>
    <w:p w:rsidR="005572BD" w:rsidRPr="007807CD" w:rsidRDefault="005572BD" w:rsidP="007807CD">
      <w:pPr>
        <w:spacing w:after="0" w:line="360" w:lineRule="auto"/>
        <w:ind w:firstLine="540"/>
        <w:jc w:val="both"/>
        <w:rPr>
          <w:rFonts w:ascii="Times New Roman" w:hAnsi="Times New Roman"/>
          <w:sz w:val="24"/>
          <w:szCs w:val="24"/>
        </w:rPr>
      </w:pPr>
    </w:p>
    <w:p w:rsidR="005572BD" w:rsidRPr="007807CD" w:rsidRDefault="005572BD" w:rsidP="007807CD">
      <w:pPr>
        <w:spacing w:after="0" w:line="360" w:lineRule="auto"/>
        <w:ind w:firstLine="540"/>
        <w:jc w:val="both"/>
        <w:rPr>
          <w:rFonts w:ascii="Times New Roman" w:hAnsi="Times New Roman"/>
          <w:b/>
          <w:sz w:val="24"/>
          <w:szCs w:val="24"/>
        </w:rPr>
      </w:pPr>
      <w:r w:rsidRPr="007807CD">
        <w:rPr>
          <w:rFonts w:ascii="Times New Roman" w:hAnsi="Times New Roman"/>
          <w:b/>
          <w:sz w:val="24"/>
          <w:szCs w:val="24"/>
        </w:rPr>
        <w:tab/>
        <w:t>Заключение</w:t>
      </w:r>
    </w:p>
    <w:p w:rsidR="005572BD" w:rsidRPr="007807CD" w:rsidRDefault="005572BD" w:rsidP="007807CD">
      <w:pPr>
        <w:spacing w:after="0" w:line="360" w:lineRule="auto"/>
        <w:ind w:firstLine="540"/>
        <w:jc w:val="both"/>
        <w:rPr>
          <w:rFonts w:ascii="Times New Roman" w:hAnsi="Times New Roman"/>
          <w:sz w:val="24"/>
          <w:szCs w:val="24"/>
        </w:rPr>
      </w:pPr>
      <w:r w:rsidRPr="007807CD">
        <w:rPr>
          <w:rFonts w:ascii="Times New Roman" w:hAnsi="Times New Roman"/>
          <w:sz w:val="24"/>
          <w:szCs w:val="24"/>
        </w:rPr>
        <w:t>В заключение, очертаните актуални тенденции на международно, европейско и национално ниво в областта на защитата на правата на човека отразяват и адресират предизвикателствата на новото време. България се включва активно в процесите, като представителите на съдебната власт, практиката, неправителствените организации и академичните среди са на гребена на вълната!</w:t>
      </w:r>
    </w:p>
    <w:sectPr w:rsidR="005572BD" w:rsidRPr="007807CD" w:rsidSect="00ED0EDA">
      <w:footerReference w:type="default" r:id="rId8"/>
      <w:pgSz w:w="11906" w:h="16838"/>
      <w:pgMar w:top="1417" w:right="926" w:bottom="1417" w:left="19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2BD" w:rsidRDefault="005572BD" w:rsidP="00442B3E">
      <w:pPr>
        <w:spacing w:after="0" w:line="240" w:lineRule="auto"/>
      </w:pPr>
      <w:r>
        <w:separator/>
      </w:r>
    </w:p>
  </w:endnote>
  <w:endnote w:type="continuationSeparator" w:id="0">
    <w:p w:rsidR="005572BD" w:rsidRDefault="005572BD" w:rsidP="00442B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P_Time">
    <w:altName w:val="Times New Roman"/>
    <w:panose1 w:val="00000000000000000000"/>
    <w:charset w:val="CC"/>
    <w:family w:val="roman"/>
    <w:notTrueType/>
    <w:pitch w:val="variable"/>
    <w:sig w:usb0="00000201" w:usb1="00000000" w:usb2="00000000" w:usb3="00000000" w:csb0="00000004" w:csb1="00000000"/>
  </w:font>
  <w:font w:name="Minion Pro">
    <w:altName w:val="Times New Roman"/>
    <w:panose1 w:val="00000000000000000000"/>
    <w:charset w:val="00"/>
    <w:family w:val="roman"/>
    <w:notTrueType/>
    <w:pitch w:val="variable"/>
    <w:sig w:usb0="00000003" w:usb1="00000000" w:usb2="00000000" w:usb3="00000000" w:csb0="00000001" w:csb1="00000000"/>
  </w:font>
  <w:font w:name="SP TimeML">
    <w:altName w:val="Arial"/>
    <w:panose1 w:val="00000000000000000000"/>
    <w:charset w:val="00"/>
    <w:family w:val="modern"/>
    <w:notTrueType/>
    <w:pitch w:val="variable"/>
    <w:sig w:usb0="00000003" w:usb1="00000000" w:usb2="00000000" w:usb3="00000000" w:csb0="00000001" w:csb1="00000000"/>
  </w:font>
  <w:font w:name="OpenSans">
    <w:altName w:val="Times New Roman"/>
    <w:panose1 w:val="00000000000000000000"/>
    <w:charset w:val="00"/>
    <w:family w:val="roman"/>
    <w:notTrueType/>
    <w:pitch w:val="default"/>
    <w:sig w:usb0="00000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2BD" w:rsidRDefault="005572BD">
    <w:pPr>
      <w:pStyle w:val="Footer"/>
      <w:jc w:val="center"/>
    </w:pPr>
    <w:fldSimple w:instr=" PAGE   \* MERGEFORMAT ">
      <w:r>
        <w:rPr>
          <w:noProof/>
        </w:rPr>
        <w:t>1</w:t>
      </w:r>
    </w:fldSimple>
  </w:p>
  <w:p w:rsidR="005572BD" w:rsidRDefault="005572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2BD" w:rsidRDefault="005572BD" w:rsidP="00442B3E">
      <w:pPr>
        <w:spacing w:after="0" w:line="240" w:lineRule="auto"/>
      </w:pPr>
      <w:r>
        <w:separator/>
      </w:r>
    </w:p>
  </w:footnote>
  <w:footnote w:type="continuationSeparator" w:id="0">
    <w:p w:rsidR="005572BD" w:rsidRDefault="005572BD" w:rsidP="00442B3E">
      <w:pPr>
        <w:spacing w:after="0" w:line="240" w:lineRule="auto"/>
      </w:pPr>
      <w:r>
        <w:continuationSeparator/>
      </w:r>
    </w:p>
  </w:footnote>
  <w:footnote w:id="1">
    <w:p w:rsidR="005572BD" w:rsidRDefault="005572BD" w:rsidP="007807CD">
      <w:pPr>
        <w:spacing w:after="0" w:line="240" w:lineRule="auto"/>
        <w:ind w:firstLine="360"/>
        <w:jc w:val="both"/>
      </w:pPr>
      <w:r w:rsidRPr="00ED0EDA">
        <w:rPr>
          <w:rStyle w:val="FootnoteReference"/>
          <w:rFonts w:ascii="Times New Roman" w:hAnsi="Times New Roman"/>
          <w:sz w:val="20"/>
          <w:szCs w:val="20"/>
        </w:rPr>
        <w:footnoteRef/>
      </w:r>
      <w:r w:rsidRPr="00ED0EDA">
        <w:rPr>
          <w:rFonts w:ascii="Times New Roman" w:hAnsi="Times New Roman"/>
          <w:sz w:val="20"/>
          <w:szCs w:val="20"/>
        </w:rPr>
        <w:t xml:space="preserve"> Гл. ас. д-р Савина Михайлова-Големинова </w:t>
      </w:r>
      <w:r w:rsidRPr="00ED0EDA">
        <w:rPr>
          <w:rFonts w:ascii="Times New Roman" w:hAnsi="Times New Roman"/>
          <w:sz w:val="20"/>
          <w:szCs w:val="20"/>
          <w:lang w:val="en-US"/>
        </w:rPr>
        <w:t>e</w:t>
      </w:r>
      <w:r w:rsidRPr="00ED0EDA">
        <w:rPr>
          <w:rFonts w:ascii="Times New Roman" w:hAnsi="Times New Roman"/>
          <w:sz w:val="20"/>
          <w:szCs w:val="20"/>
        </w:rPr>
        <w:t xml:space="preserve"> преподавател по финансово и данъчно право в катедра „А</w:t>
      </w:r>
      <w:r>
        <w:rPr>
          <w:rFonts w:ascii="Times New Roman" w:hAnsi="Times New Roman"/>
          <w:sz w:val="20"/>
          <w:szCs w:val="20"/>
        </w:rPr>
        <w:t xml:space="preserve">дминистративноправни науки“ на Юридическия факултет </w:t>
      </w:r>
      <w:r w:rsidRPr="00ED0EDA">
        <w:rPr>
          <w:rFonts w:ascii="Times New Roman" w:hAnsi="Times New Roman"/>
          <w:sz w:val="20"/>
          <w:szCs w:val="20"/>
        </w:rPr>
        <w:t>на Софийски университет „Св. Климент Охридски“. Преподава в Юридическия и Стопанския факултет на университета. Специализирала</w:t>
      </w:r>
      <w:r>
        <w:rPr>
          <w:rFonts w:ascii="Times New Roman" w:hAnsi="Times New Roman"/>
          <w:sz w:val="20"/>
          <w:szCs w:val="20"/>
        </w:rPr>
        <w:t xml:space="preserve"> </w:t>
      </w:r>
      <w:r w:rsidRPr="00ED0EDA">
        <w:rPr>
          <w:rFonts w:ascii="Times New Roman" w:hAnsi="Times New Roman"/>
          <w:sz w:val="20"/>
          <w:szCs w:val="20"/>
        </w:rPr>
        <w:t xml:space="preserve">е в </w:t>
      </w:r>
      <w:r w:rsidRPr="00ED0EDA">
        <w:rPr>
          <w:rFonts w:ascii="Times New Roman" w:hAnsi="Times New Roman"/>
          <w:sz w:val="20"/>
          <w:szCs w:val="20"/>
          <w:lang w:val="en-GB"/>
        </w:rPr>
        <w:t>IFBD</w:t>
      </w:r>
      <w:r w:rsidRPr="00ED0EDA">
        <w:rPr>
          <w:rFonts w:ascii="Times New Roman" w:hAnsi="Times New Roman"/>
          <w:sz w:val="20"/>
          <w:szCs w:val="20"/>
          <w:lang w:val="ru-RU"/>
        </w:rPr>
        <w:t xml:space="preserve"> </w:t>
      </w:r>
      <w:r w:rsidRPr="00ED0EDA">
        <w:rPr>
          <w:rFonts w:ascii="Times New Roman" w:hAnsi="Times New Roman"/>
          <w:sz w:val="20"/>
          <w:szCs w:val="20"/>
        </w:rPr>
        <w:t>(Амстердам, Нидерландия) и в Оксфордския университет (Обединено кралство)</w:t>
      </w:r>
      <w:r w:rsidRPr="00ED0EDA">
        <w:rPr>
          <w:rFonts w:ascii="Times New Roman" w:hAnsi="Times New Roman"/>
          <w:sz w:val="20"/>
          <w:szCs w:val="20"/>
          <w:lang w:val="ru-RU"/>
        </w:rPr>
        <w:t>.</w:t>
      </w:r>
      <w:r w:rsidRPr="00ED0EDA">
        <w:rPr>
          <w:rFonts w:ascii="Times New Roman" w:hAnsi="Times New Roman"/>
          <w:sz w:val="20"/>
          <w:szCs w:val="20"/>
        </w:rPr>
        <w:t xml:space="preserve"> Член e на Софийската адвокатска колегия и на Международната фискална асоциация </w:t>
      </w:r>
      <w:r w:rsidRPr="00ED0EDA">
        <w:rPr>
          <w:rFonts w:ascii="Times New Roman" w:hAnsi="Times New Roman"/>
          <w:sz w:val="20"/>
          <w:szCs w:val="20"/>
          <w:lang w:val="ru-RU"/>
        </w:rPr>
        <w:t>(</w:t>
      </w:r>
      <w:r w:rsidRPr="00ED0EDA">
        <w:rPr>
          <w:rFonts w:ascii="Times New Roman" w:hAnsi="Times New Roman"/>
          <w:sz w:val="20"/>
          <w:szCs w:val="20"/>
          <w:lang w:val="en-US"/>
        </w:rPr>
        <w:t>IFA</w:t>
      </w:r>
      <w:r w:rsidRPr="00ED0EDA">
        <w:rPr>
          <w:rFonts w:ascii="Times New Roman" w:hAnsi="Times New Roman"/>
          <w:sz w:val="20"/>
          <w:szCs w:val="20"/>
          <w:lang w:val="ru-RU"/>
        </w:rPr>
        <w:t xml:space="preserve">). </w:t>
      </w:r>
      <w:r>
        <w:rPr>
          <w:rFonts w:ascii="Times New Roman" w:hAnsi="Times New Roman"/>
          <w:sz w:val="20"/>
          <w:szCs w:val="20"/>
        </w:rPr>
        <w:t>А</w:t>
      </w:r>
      <w:r w:rsidRPr="00ED0EDA">
        <w:rPr>
          <w:rFonts w:ascii="Times New Roman" w:hAnsi="Times New Roman"/>
          <w:sz w:val="20"/>
          <w:szCs w:val="20"/>
        </w:rPr>
        <w:t xml:space="preserve">втор на публикации в областта на финансовото и данъчното право. Член е на екипа на Академията за европейски структурни и инвестиционни фондове (съвместна програма на Института по публична администрация и Софийски университет) и на Националния институт на правосъдието. Владее български, английски и руски език. </w:t>
      </w:r>
      <w:r w:rsidRPr="00ED0EDA">
        <w:rPr>
          <w:rFonts w:ascii="Times New Roman" w:hAnsi="Times New Roman"/>
          <w:sz w:val="20"/>
          <w:szCs w:val="20"/>
          <w:lang w:val="en-US"/>
        </w:rPr>
        <w:t>E</w:t>
      </w:r>
      <w:r w:rsidRPr="00ED0EDA">
        <w:rPr>
          <w:rFonts w:ascii="Times New Roman" w:hAnsi="Times New Roman"/>
          <w:sz w:val="20"/>
          <w:szCs w:val="20"/>
        </w:rPr>
        <w:t>-</w:t>
      </w:r>
      <w:r w:rsidRPr="00ED0EDA">
        <w:rPr>
          <w:rFonts w:ascii="Times New Roman" w:hAnsi="Times New Roman"/>
          <w:sz w:val="20"/>
          <w:szCs w:val="20"/>
          <w:lang w:val="en-US"/>
        </w:rPr>
        <w:t>mail</w:t>
      </w:r>
      <w:r w:rsidRPr="00ED0EDA">
        <w:rPr>
          <w:rFonts w:ascii="Times New Roman" w:hAnsi="Times New Roman"/>
          <w:sz w:val="20"/>
          <w:szCs w:val="20"/>
        </w:rPr>
        <w:t xml:space="preserve">: </w:t>
      </w:r>
      <w:r w:rsidRPr="00ED0EDA">
        <w:rPr>
          <w:rFonts w:ascii="Times New Roman" w:hAnsi="Times New Roman"/>
          <w:sz w:val="20"/>
          <w:szCs w:val="20"/>
          <w:lang w:val="en-US"/>
        </w:rPr>
        <w:t>mihajlova</w:t>
      </w:r>
      <w:r w:rsidRPr="00ED0EDA">
        <w:rPr>
          <w:rFonts w:ascii="Times New Roman" w:hAnsi="Times New Roman"/>
          <w:sz w:val="20"/>
          <w:szCs w:val="20"/>
        </w:rPr>
        <w:t>@</w:t>
      </w:r>
      <w:r w:rsidRPr="00ED0EDA">
        <w:rPr>
          <w:rFonts w:ascii="Times New Roman" w:hAnsi="Times New Roman"/>
          <w:sz w:val="20"/>
          <w:szCs w:val="20"/>
          <w:lang w:val="en-US"/>
        </w:rPr>
        <w:t>uni</w:t>
      </w:r>
      <w:r w:rsidRPr="00ED0EDA">
        <w:rPr>
          <w:rFonts w:ascii="Times New Roman" w:hAnsi="Times New Roman"/>
          <w:sz w:val="20"/>
          <w:szCs w:val="20"/>
        </w:rPr>
        <w:t>-</w:t>
      </w:r>
      <w:r w:rsidRPr="00ED0EDA">
        <w:rPr>
          <w:rFonts w:ascii="Times New Roman" w:hAnsi="Times New Roman"/>
          <w:sz w:val="20"/>
          <w:szCs w:val="20"/>
          <w:lang w:val="en-US"/>
        </w:rPr>
        <w:t>sofia</w:t>
      </w:r>
      <w:r w:rsidRPr="00ED0EDA">
        <w:rPr>
          <w:rFonts w:ascii="Times New Roman" w:hAnsi="Times New Roman"/>
          <w:sz w:val="20"/>
          <w:szCs w:val="20"/>
        </w:rPr>
        <w:t>.</w:t>
      </w:r>
      <w:r w:rsidRPr="00ED0EDA">
        <w:rPr>
          <w:rFonts w:ascii="Times New Roman" w:hAnsi="Times New Roman"/>
          <w:sz w:val="20"/>
          <w:szCs w:val="20"/>
          <w:lang w:val="en-US"/>
        </w:rPr>
        <w:t>bg</w:t>
      </w:r>
    </w:p>
  </w:footnote>
  <w:footnote w:id="2">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Екатерина Тархова е дипломиран юрист по международно търговско право от университетите в Страсбург и Екс-Марсилия, Франция. Притежава дългогодишен опит в областта на косвеното облагане. По настояще е главен експерт в дирекция „Данъчна политика“ на</w:t>
      </w:r>
      <w:r>
        <w:rPr>
          <w:rFonts w:ascii="Times New Roman" w:hAnsi="Times New Roman"/>
        </w:rPr>
        <w:t xml:space="preserve"> </w:t>
      </w:r>
      <w:r w:rsidRPr="00ED0EDA">
        <w:rPr>
          <w:rFonts w:ascii="Times New Roman" w:hAnsi="Times New Roman"/>
        </w:rPr>
        <w:t>Министерството на финансите на Република България. Преминала е успешно обучение на тема „Защита и управление на правата на човека“ във Висшето административно училище (</w:t>
      </w:r>
      <w:r w:rsidRPr="00ED0EDA">
        <w:rPr>
          <w:rFonts w:ascii="Times New Roman" w:hAnsi="Times New Roman"/>
          <w:lang w:val="en-US"/>
        </w:rPr>
        <w:t>ENA</w:t>
      </w:r>
      <w:r w:rsidRPr="00ED0EDA">
        <w:rPr>
          <w:rFonts w:ascii="Times New Roman" w:hAnsi="Times New Roman"/>
        </w:rPr>
        <w:t xml:space="preserve">), Франция. Има специфичен интерес към защитата на правата на човека в данъчната област. Владее английски, френски и руски език. </w:t>
      </w:r>
      <w:r w:rsidRPr="00ED0EDA">
        <w:rPr>
          <w:rFonts w:ascii="Times New Roman" w:hAnsi="Times New Roman"/>
          <w:lang w:val="en-US"/>
        </w:rPr>
        <w:t>E</w:t>
      </w:r>
      <w:r w:rsidRPr="00ED0EDA">
        <w:rPr>
          <w:rFonts w:ascii="Times New Roman" w:hAnsi="Times New Roman"/>
        </w:rPr>
        <w:t>-</w:t>
      </w:r>
      <w:r w:rsidRPr="00ED0EDA">
        <w:rPr>
          <w:rFonts w:ascii="Times New Roman" w:hAnsi="Times New Roman"/>
          <w:lang w:val="en-US"/>
        </w:rPr>
        <w:t>mail</w:t>
      </w:r>
      <w:r w:rsidRPr="00ED0EDA">
        <w:rPr>
          <w:rFonts w:ascii="Times New Roman" w:hAnsi="Times New Roman"/>
        </w:rPr>
        <w:t xml:space="preserve">: </w:t>
      </w:r>
      <w:hyperlink r:id="rId1" w:history="1">
        <w:r w:rsidRPr="00ED0EDA">
          <w:rPr>
            <w:rStyle w:val="Hyperlink"/>
            <w:rFonts w:ascii="Times New Roman" w:hAnsi="Times New Roman"/>
            <w:lang w:val="en-US"/>
          </w:rPr>
          <w:t>e</w:t>
        </w:r>
        <w:r w:rsidRPr="00ED0EDA">
          <w:rPr>
            <w:rStyle w:val="Hyperlink"/>
            <w:rFonts w:ascii="Times New Roman" w:hAnsi="Times New Roman"/>
          </w:rPr>
          <w:t>.</w:t>
        </w:r>
        <w:r w:rsidRPr="00ED0EDA">
          <w:rPr>
            <w:rStyle w:val="Hyperlink"/>
            <w:rFonts w:ascii="Times New Roman" w:hAnsi="Times New Roman"/>
            <w:lang w:val="en-US"/>
          </w:rPr>
          <w:t>tarhova</w:t>
        </w:r>
        <w:r w:rsidRPr="00ED0EDA">
          <w:rPr>
            <w:rStyle w:val="Hyperlink"/>
            <w:rFonts w:ascii="Times New Roman" w:hAnsi="Times New Roman"/>
          </w:rPr>
          <w:t>@</w:t>
        </w:r>
        <w:r w:rsidRPr="00ED0EDA">
          <w:rPr>
            <w:rStyle w:val="Hyperlink"/>
            <w:rFonts w:ascii="Times New Roman" w:hAnsi="Times New Roman"/>
            <w:lang w:val="en-US"/>
          </w:rPr>
          <w:t>minfin</w:t>
        </w:r>
        <w:r w:rsidRPr="00ED0EDA">
          <w:rPr>
            <w:rStyle w:val="Hyperlink"/>
            <w:rFonts w:ascii="Times New Roman" w:hAnsi="Times New Roman"/>
          </w:rPr>
          <w:t>.</w:t>
        </w:r>
        <w:r w:rsidRPr="00ED0EDA">
          <w:rPr>
            <w:rStyle w:val="Hyperlink"/>
            <w:rFonts w:ascii="Times New Roman" w:hAnsi="Times New Roman"/>
            <w:lang w:val="en-US"/>
          </w:rPr>
          <w:t>bg</w:t>
        </w:r>
      </w:hyperlink>
      <w:r w:rsidRPr="00ED0EDA">
        <w:rPr>
          <w:rFonts w:ascii="Times New Roman" w:hAnsi="Times New Roman"/>
        </w:rPr>
        <w:t xml:space="preserve"> </w:t>
      </w:r>
    </w:p>
  </w:footnote>
  <w:footnote w:id="3">
    <w:p w:rsidR="005572BD" w:rsidRDefault="005572BD" w:rsidP="007807CD">
      <w:pPr>
        <w:spacing w:after="0" w:line="240" w:lineRule="auto"/>
        <w:ind w:firstLine="360"/>
        <w:jc w:val="both"/>
      </w:pPr>
      <w:r w:rsidRPr="00ED0EDA">
        <w:rPr>
          <w:rStyle w:val="FootnoteReference"/>
          <w:rFonts w:ascii="Times New Roman" w:hAnsi="Times New Roman"/>
          <w:sz w:val="20"/>
          <w:szCs w:val="20"/>
        </w:rPr>
        <w:footnoteRef/>
      </w:r>
      <w:r w:rsidRPr="00ED0EDA">
        <w:rPr>
          <w:rFonts w:ascii="Times New Roman" w:hAnsi="Times New Roman"/>
          <w:sz w:val="20"/>
          <w:szCs w:val="20"/>
        </w:rPr>
        <w:t xml:space="preserve"> Румяна Христова Михайлова е студент по специалност „Право“, трети курс в Юридическия факултет на Софийски университет „Св. Климент Охридски“. Член на младежката организация Европейска асоциация на студентите юристи - България (ELSA). Ментор по</w:t>
      </w:r>
      <w:r>
        <w:rPr>
          <w:rFonts w:ascii="Times New Roman" w:hAnsi="Times New Roman"/>
          <w:sz w:val="20"/>
          <w:szCs w:val="20"/>
        </w:rPr>
        <w:t xml:space="preserve"> </w:t>
      </w:r>
      <w:r w:rsidRPr="00ED0EDA">
        <w:rPr>
          <w:rFonts w:ascii="Times New Roman" w:hAnsi="Times New Roman"/>
          <w:sz w:val="20"/>
          <w:szCs w:val="20"/>
        </w:rPr>
        <w:t>проект</w:t>
      </w:r>
      <w:r>
        <w:rPr>
          <w:rFonts w:ascii="Times New Roman" w:hAnsi="Times New Roman"/>
          <w:sz w:val="20"/>
          <w:szCs w:val="20"/>
        </w:rPr>
        <w:t xml:space="preserve"> </w:t>
      </w:r>
      <w:r w:rsidRPr="00ED0EDA">
        <w:rPr>
          <w:rFonts w:ascii="Times New Roman" w:hAnsi="Times New Roman"/>
          <w:sz w:val="20"/>
          <w:szCs w:val="20"/>
        </w:rPr>
        <w:t>„Младежка енергия за подкрепа на местните общности - засилване на участието на младите хора в решаването на обществени проблеми чрез представителната демокрация и активно гражданско участие“, финансиран по Интеррег – ИПА Програма за трансгранично сътрудничество между България и Сърбия 2014-2020 г.</w:t>
      </w:r>
      <w:r>
        <w:rPr>
          <w:rFonts w:ascii="Times New Roman" w:hAnsi="Times New Roman"/>
          <w:sz w:val="20"/>
          <w:szCs w:val="20"/>
        </w:rPr>
        <w:t xml:space="preserve"> </w:t>
      </w:r>
      <w:r w:rsidRPr="00ED0EDA">
        <w:rPr>
          <w:rFonts w:ascii="Times New Roman" w:hAnsi="Times New Roman"/>
          <w:sz w:val="20"/>
          <w:szCs w:val="20"/>
        </w:rPr>
        <w:t>Завършила е</w:t>
      </w:r>
      <w:r>
        <w:rPr>
          <w:rFonts w:ascii="Times New Roman" w:hAnsi="Times New Roman"/>
          <w:sz w:val="20"/>
          <w:szCs w:val="20"/>
        </w:rPr>
        <w:t xml:space="preserve"> </w:t>
      </w:r>
      <w:r w:rsidRPr="00ED0EDA">
        <w:rPr>
          <w:rFonts w:ascii="Times New Roman" w:hAnsi="Times New Roman"/>
          <w:sz w:val="20"/>
          <w:szCs w:val="20"/>
        </w:rPr>
        <w:t>9-та Френска езикова гимназия „Алфонс дьо Ламартин“,</w:t>
      </w:r>
      <w:r>
        <w:rPr>
          <w:rFonts w:ascii="Times New Roman" w:hAnsi="Times New Roman"/>
          <w:sz w:val="20"/>
          <w:szCs w:val="20"/>
        </w:rPr>
        <w:t xml:space="preserve"> </w:t>
      </w:r>
      <w:r w:rsidRPr="00ED0EDA">
        <w:rPr>
          <w:rFonts w:ascii="Times New Roman" w:hAnsi="Times New Roman"/>
          <w:sz w:val="20"/>
          <w:szCs w:val="20"/>
        </w:rPr>
        <w:t>гр. София. Владее български, английски, френски и руски език.</w:t>
      </w:r>
      <w:r w:rsidRPr="00ED0EDA">
        <w:rPr>
          <w:rFonts w:ascii="Times New Roman" w:hAnsi="Times New Roman"/>
          <w:sz w:val="20"/>
          <w:szCs w:val="20"/>
          <w:shd w:val="clear" w:color="auto" w:fill="FFFFFF"/>
        </w:rPr>
        <w:t xml:space="preserve"> </w:t>
      </w:r>
      <w:r w:rsidRPr="00ED0EDA">
        <w:rPr>
          <w:rFonts w:ascii="Times New Roman" w:hAnsi="Times New Roman"/>
          <w:sz w:val="20"/>
          <w:szCs w:val="20"/>
          <w:lang w:val="en-US"/>
        </w:rPr>
        <w:t>E</w:t>
      </w:r>
      <w:r w:rsidRPr="00ED0EDA">
        <w:rPr>
          <w:rFonts w:ascii="Times New Roman" w:hAnsi="Times New Roman"/>
          <w:sz w:val="20"/>
          <w:szCs w:val="20"/>
        </w:rPr>
        <w:t>-</w:t>
      </w:r>
      <w:r w:rsidRPr="00ED0EDA">
        <w:rPr>
          <w:rFonts w:ascii="Times New Roman" w:hAnsi="Times New Roman"/>
          <w:sz w:val="20"/>
          <w:szCs w:val="20"/>
          <w:lang w:val="en-US"/>
        </w:rPr>
        <w:t>mail</w:t>
      </w:r>
      <w:r w:rsidRPr="00ED0EDA">
        <w:rPr>
          <w:rFonts w:ascii="Times New Roman" w:hAnsi="Times New Roman"/>
          <w:sz w:val="20"/>
          <w:szCs w:val="20"/>
        </w:rPr>
        <w:t xml:space="preserve">: </w:t>
      </w:r>
      <w:r w:rsidRPr="00ED0EDA">
        <w:rPr>
          <w:rFonts w:ascii="Times New Roman" w:hAnsi="Times New Roman"/>
          <w:sz w:val="20"/>
          <w:szCs w:val="20"/>
          <w:shd w:val="clear" w:color="auto" w:fill="FFFFFF"/>
        </w:rPr>
        <w:t>rumyana.mihaylova4@gmail.com</w:t>
      </w:r>
    </w:p>
  </w:footnote>
  <w:footnote w:id="4">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w:t>
      </w:r>
      <w:r w:rsidRPr="00ED0EDA">
        <w:rPr>
          <w:rFonts w:ascii="Times New Roman" w:hAnsi="Times New Roman"/>
          <w:b/>
          <w:bCs/>
        </w:rPr>
        <w:t>Семов, A.</w:t>
      </w:r>
      <w:r w:rsidRPr="00ED0EDA">
        <w:rPr>
          <w:rFonts w:ascii="Times New Roman" w:hAnsi="Times New Roman"/>
        </w:rPr>
        <w:t xml:space="preserve"> Права на гражданите на ЕС. С., УИ „Св. Климент Охридски“, 2018</w:t>
      </w:r>
    </w:p>
  </w:footnote>
  <w:footnote w:id="5">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w:t>
      </w:r>
      <w:r w:rsidRPr="00ED0EDA">
        <w:rPr>
          <w:rFonts w:ascii="Times New Roman" w:hAnsi="Times New Roman"/>
          <w:b/>
          <w:bCs/>
        </w:rPr>
        <w:t xml:space="preserve">Александрова, И., М. Златарева, П. Панова, Н. Ангелов. </w:t>
      </w:r>
      <w:r w:rsidRPr="00ED0EDA">
        <w:rPr>
          <w:rFonts w:ascii="Times New Roman" w:hAnsi="Times New Roman"/>
        </w:rPr>
        <w:t>Съдебна защита на основните права в България. Т. 1 и 2. С., НИП, 2015</w:t>
      </w:r>
    </w:p>
  </w:footnote>
  <w:footnote w:id="6">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Виж повече информация за декларацията на: </w:t>
      </w:r>
      <w:hyperlink r:id="rId2" w:history="1">
        <w:r w:rsidRPr="00ED0EDA">
          <w:rPr>
            <w:rStyle w:val="Hyperlink"/>
            <w:rFonts w:ascii="Times New Roman" w:hAnsi="Times New Roman"/>
          </w:rPr>
          <w:t>https://www.parliament.bg/bg/plenaryst/ns/6/ID/1222</w:t>
        </w:r>
      </w:hyperlink>
      <w:r w:rsidRPr="00ED0EDA">
        <w:rPr>
          <w:rFonts w:ascii="Times New Roman" w:hAnsi="Times New Roman"/>
        </w:rPr>
        <w:t xml:space="preserve"> </w:t>
      </w:r>
    </w:p>
  </w:footnote>
  <w:footnote w:id="7">
    <w:p w:rsidR="005572BD" w:rsidRPr="00ED0EDA" w:rsidRDefault="005572BD" w:rsidP="007807CD">
      <w:pPr>
        <w:spacing w:after="0" w:line="240" w:lineRule="auto"/>
        <w:ind w:firstLine="360"/>
        <w:jc w:val="both"/>
        <w:rPr>
          <w:rFonts w:ascii="Times New Roman" w:hAnsi="Times New Roman"/>
          <w:sz w:val="20"/>
          <w:szCs w:val="20"/>
        </w:rPr>
      </w:pPr>
      <w:r w:rsidRPr="00ED0EDA">
        <w:rPr>
          <w:rStyle w:val="FootnoteReference"/>
          <w:rFonts w:ascii="Times New Roman" w:hAnsi="Times New Roman"/>
          <w:sz w:val="20"/>
          <w:szCs w:val="20"/>
        </w:rPr>
        <w:footnoteRef/>
      </w:r>
      <w:r w:rsidRPr="00ED0EDA">
        <w:rPr>
          <w:rFonts w:ascii="Times New Roman" w:hAnsi="Times New Roman"/>
          <w:sz w:val="20"/>
          <w:szCs w:val="20"/>
        </w:rPr>
        <w:t xml:space="preserve"> </w:t>
      </w:r>
      <w:r w:rsidRPr="00ED0EDA">
        <w:rPr>
          <w:rFonts w:ascii="Times New Roman" w:hAnsi="Times New Roman"/>
          <w:b/>
          <w:bCs/>
          <w:sz w:val="20"/>
          <w:szCs w:val="20"/>
        </w:rPr>
        <w:t>(Ратифицирана със закон, приет от Народното събрание на 31 юли 1992</w:t>
      </w:r>
      <w:r w:rsidRPr="00ED0EDA">
        <w:rPr>
          <w:rFonts w:ascii="Times New Roman" w:hAnsi="Times New Roman"/>
          <w:b/>
          <w:bCs/>
          <w:sz w:val="20"/>
          <w:szCs w:val="20"/>
          <w:lang w:val="en-US"/>
        </w:rPr>
        <w:t> </w:t>
      </w:r>
      <w:r w:rsidRPr="00ED0EDA">
        <w:rPr>
          <w:rFonts w:ascii="Times New Roman" w:hAnsi="Times New Roman"/>
          <w:b/>
          <w:bCs/>
          <w:sz w:val="20"/>
          <w:szCs w:val="20"/>
        </w:rPr>
        <w:t>г. - ДВ, бр. 66 от 1992</w:t>
      </w:r>
      <w:r w:rsidRPr="00ED0EDA">
        <w:rPr>
          <w:rFonts w:ascii="Times New Roman" w:hAnsi="Times New Roman"/>
          <w:b/>
          <w:bCs/>
          <w:sz w:val="20"/>
          <w:szCs w:val="20"/>
          <w:lang w:val="en-US"/>
        </w:rPr>
        <w:t> </w:t>
      </w:r>
      <w:r w:rsidRPr="00ED0EDA">
        <w:rPr>
          <w:rFonts w:ascii="Times New Roman" w:hAnsi="Times New Roman"/>
          <w:b/>
          <w:bCs/>
          <w:sz w:val="20"/>
          <w:szCs w:val="20"/>
        </w:rPr>
        <w:t>г. В сила за Република България от 7 септември 1992</w:t>
      </w:r>
      <w:r w:rsidRPr="00ED0EDA">
        <w:rPr>
          <w:rFonts w:ascii="Times New Roman" w:hAnsi="Times New Roman"/>
          <w:b/>
          <w:bCs/>
          <w:sz w:val="20"/>
          <w:szCs w:val="20"/>
          <w:lang w:val="en-US"/>
        </w:rPr>
        <w:t> </w:t>
      </w:r>
      <w:r w:rsidRPr="00ED0EDA">
        <w:rPr>
          <w:rFonts w:ascii="Times New Roman" w:hAnsi="Times New Roman"/>
          <w:b/>
          <w:bCs/>
          <w:sz w:val="20"/>
          <w:szCs w:val="20"/>
        </w:rPr>
        <w:t>г.)</w:t>
      </w:r>
      <w:r w:rsidRPr="00ED0EDA">
        <w:rPr>
          <w:rFonts w:ascii="Times New Roman" w:hAnsi="Times New Roman"/>
          <w:sz w:val="20"/>
          <w:szCs w:val="20"/>
        </w:rPr>
        <w:t xml:space="preserve"> Допълнена с Протокол № 2 от 06.05.1963</w:t>
      </w:r>
      <w:r w:rsidRPr="00ED0EDA">
        <w:rPr>
          <w:rFonts w:ascii="Times New Roman" w:hAnsi="Times New Roman"/>
          <w:sz w:val="20"/>
          <w:szCs w:val="20"/>
          <w:lang w:val="en-US"/>
        </w:rPr>
        <w:t> </w:t>
      </w:r>
      <w:r w:rsidRPr="00ED0EDA">
        <w:rPr>
          <w:rFonts w:ascii="Times New Roman" w:hAnsi="Times New Roman"/>
          <w:sz w:val="20"/>
          <w:szCs w:val="20"/>
        </w:rPr>
        <w:t>г., изменена с Протокол № 3 от 06.05.1963</w:t>
      </w:r>
      <w:r w:rsidRPr="00ED0EDA">
        <w:rPr>
          <w:rFonts w:ascii="Times New Roman" w:hAnsi="Times New Roman"/>
          <w:sz w:val="20"/>
          <w:szCs w:val="20"/>
          <w:lang w:val="en-US"/>
        </w:rPr>
        <w:t> </w:t>
      </w:r>
      <w:r w:rsidRPr="00ED0EDA">
        <w:rPr>
          <w:rFonts w:ascii="Times New Roman" w:hAnsi="Times New Roman"/>
          <w:sz w:val="20"/>
          <w:szCs w:val="20"/>
        </w:rPr>
        <w:t>г., Протокол № 5 от 20.01.1966</w:t>
      </w:r>
      <w:r w:rsidRPr="00ED0EDA">
        <w:rPr>
          <w:rFonts w:ascii="Times New Roman" w:hAnsi="Times New Roman"/>
          <w:sz w:val="20"/>
          <w:szCs w:val="20"/>
          <w:lang w:val="en-US"/>
        </w:rPr>
        <w:t> </w:t>
      </w:r>
      <w:r w:rsidRPr="00ED0EDA">
        <w:rPr>
          <w:rFonts w:ascii="Times New Roman" w:hAnsi="Times New Roman"/>
          <w:sz w:val="20"/>
          <w:szCs w:val="20"/>
        </w:rPr>
        <w:t>г., Протокол № 8 от 19.03.1985</w:t>
      </w:r>
      <w:r w:rsidRPr="00ED0EDA">
        <w:rPr>
          <w:rFonts w:ascii="Times New Roman" w:hAnsi="Times New Roman"/>
          <w:sz w:val="20"/>
          <w:szCs w:val="20"/>
          <w:lang w:val="en-US"/>
        </w:rPr>
        <w:t> </w:t>
      </w:r>
      <w:r w:rsidRPr="00ED0EDA">
        <w:rPr>
          <w:rFonts w:ascii="Times New Roman" w:hAnsi="Times New Roman"/>
          <w:sz w:val="20"/>
          <w:szCs w:val="20"/>
        </w:rPr>
        <w:t>г. Обн. ДВ. бр.</w:t>
      </w:r>
      <w:r>
        <w:rPr>
          <w:rFonts w:ascii="Times New Roman" w:hAnsi="Times New Roman"/>
          <w:sz w:val="20"/>
          <w:szCs w:val="20"/>
        </w:rPr>
        <w:t xml:space="preserve"> 80 от 2 о</w:t>
      </w:r>
      <w:r w:rsidRPr="00ED0EDA">
        <w:rPr>
          <w:rFonts w:ascii="Times New Roman" w:hAnsi="Times New Roman"/>
          <w:sz w:val="20"/>
          <w:szCs w:val="20"/>
        </w:rPr>
        <w:t>ктомври 1992г., изм. ДВ. бр.</w:t>
      </w:r>
      <w:r>
        <w:rPr>
          <w:rFonts w:ascii="Times New Roman" w:hAnsi="Times New Roman"/>
          <w:sz w:val="20"/>
          <w:szCs w:val="20"/>
        </w:rPr>
        <w:t xml:space="preserve"> 137 от 20 н</w:t>
      </w:r>
      <w:r w:rsidRPr="00ED0EDA">
        <w:rPr>
          <w:rFonts w:ascii="Times New Roman" w:hAnsi="Times New Roman"/>
          <w:sz w:val="20"/>
          <w:szCs w:val="20"/>
        </w:rPr>
        <w:t>оември 1998</w:t>
      </w:r>
      <w:r>
        <w:rPr>
          <w:rFonts w:ascii="Times New Roman" w:hAnsi="Times New Roman"/>
          <w:sz w:val="20"/>
          <w:szCs w:val="20"/>
        </w:rPr>
        <w:t xml:space="preserve"> г., попр. ДВ. бр.97 от 9 н</w:t>
      </w:r>
      <w:r w:rsidRPr="00ED0EDA">
        <w:rPr>
          <w:rFonts w:ascii="Times New Roman" w:hAnsi="Times New Roman"/>
          <w:sz w:val="20"/>
          <w:szCs w:val="20"/>
        </w:rPr>
        <w:t>оември 1999</w:t>
      </w:r>
      <w:r>
        <w:rPr>
          <w:rFonts w:ascii="Times New Roman" w:hAnsi="Times New Roman"/>
          <w:sz w:val="20"/>
          <w:szCs w:val="20"/>
        </w:rPr>
        <w:t xml:space="preserve"> </w:t>
      </w:r>
      <w:r w:rsidRPr="00ED0EDA">
        <w:rPr>
          <w:rFonts w:ascii="Times New Roman" w:hAnsi="Times New Roman"/>
          <w:sz w:val="20"/>
          <w:szCs w:val="20"/>
        </w:rPr>
        <w:t>г.,</w:t>
      </w:r>
      <w:r w:rsidRPr="00ED0EDA">
        <w:rPr>
          <w:rFonts w:ascii="Times New Roman" w:hAnsi="Times New Roman"/>
          <w:sz w:val="20"/>
          <w:szCs w:val="20"/>
          <w:lang w:val="en-US"/>
        </w:rPr>
        <w:t> </w:t>
      </w:r>
      <w:r w:rsidRPr="00ED0EDA">
        <w:rPr>
          <w:rFonts w:ascii="Times New Roman" w:hAnsi="Times New Roman"/>
          <w:b/>
          <w:bCs/>
          <w:sz w:val="20"/>
          <w:szCs w:val="20"/>
        </w:rPr>
        <w:t>изм. ДВ. бр.</w:t>
      </w:r>
      <w:r>
        <w:rPr>
          <w:rFonts w:ascii="Times New Roman" w:hAnsi="Times New Roman"/>
          <w:b/>
          <w:bCs/>
          <w:sz w:val="20"/>
          <w:szCs w:val="20"/>
        </w:rPr>
        <w:t xml:space="preserve"> 38 от 21 м</w:t>
      </w:r>
      <w:r w:rsidRPr="00ED0EDA">
        <w:rPr>
          <w:rFonts w:ascii="Times New Roman" w:hAnsi="Times New Roman"/>
          <w:b/>
          <w:bCs/>
          <w:sz w:val="20"/>
          <w:szCs w:val="20"/>
        </w:rPr>
        <w:t>ай 2010</w:t>
      </w:r>
      <w:r>
        <w:rPr>
          <w:rFonts w:ascii="Times New Roman" w:hAnsi="Times New Roman"/>
          <w:b/>
          <w:bCs/>
          <w:sz w:val="20"/>
          <w:szCs w:val="20"/>
        </w:rPr>
        <w:t xml:space="preserve"> </w:t>
      </w:r>
      <w:r w:rsidRPr="00ED0EDA">
        <w:rPr>
          <w:rFonts w:ascii="Times New Roman" w:hAnsi="Times New Roman"/>
          <w:b/>
          <w:bCs/>
          <w:sz w:val="20"/>
          <w:szCs w:val="20"/>
        </w:rPr>
        <w:t>г.</w:t>
      </w:r>
    </w:p>
    <w:p w:rsidR="005572BD" w:rsidRDefault="005572BD" w:rsidP="007807CD">
      <w:pPr>
        <w:spacing w:after="0" w:line="240" w:lineRule="auto"/>
        <w:ind w:firstLine="360"/>
        <w:jc w:val="both"/>
      </w:pPr>
    </w:p>
  </w:footnote>
  <w:footnote w:id="8">
    <w:p w:rsidR="005572BD" w:rsidRDefault="005572BD" w:rsidP="007807CD">
      <w:pPr>
        <w:pStyle w:val="zab"/>
        <w:spacing w:line="240" w:lineRule="auto"/>
        <w:ind w:firstLine="360"/>
      </w:pPr>
      <w:r w:rsidRPr="00ED0EDA">
        <w:rPr>
          <w:rFonts w:ascii="Times New Roman" w:hAnsi="Times New Roman" w:cs="Times New Roman"/>
          <w:color w:val="auto"/>
          <w:sz w:val="20"/>
          <w:szCs w:val="20"/>
          <w:vertAlign w:val="superscript"/>
        </w:rPr>
        <w:footnoteRef/>
      </w:r>
      <w:r w:rsidRPr="00ED0EDA">
        <w:rPr>
          <w:rFonts w:ascii="Times New Roman" w:hAnsi="Times New Roman" w:cs="Times New Roman"/>
          <w:color w:val="auto"/>
          <w:sz w:val="20"/>
          <w:szCs w:val="20"/>
          <w:lang w:val="bg-BG"/>
        </w:rPr>
        <w:t xml:space="preserve"> Вж. практика на СЕС: </w:t>
      </w:r>
      <w:r w:rsidRPr="00ED0EDA">
        <w:rPr>
          <w:rFonts w:ascii="Times New Roman" w:hAnsi="Times New Roman" w:cs="Times New Roman"/>
          <w:i/>
          <w:iCs/>
          <w:color w:val="auto"/>
          <w:sz w:val="20"/>
          <w:szCs w:val="20"/>
          <w:lang w:val="bg-BG"/>
        </w:rPr>
        <w:t>Gabrielle Defrenne</w:t>
      </w:r>
      <w:r w:rsidRPr="00ED0EDA">
        <w:rPr>
          <w:rFonts w:ascii="Times New Roman" w:hAnsi="Times New Roman" w:cs="Times New Roman"/>
          <w:color w:val="auto"/>
          <w:sz w:val="20"/>
          <w:szCs w:val="20"/>
          <w:lang w:val="bg-BG"/>
        </w:rPr>
        <w:t xml:space="preserve"> (C–149/77), ECLI:EU:C:1978:130; </w:t>
      </w:r>
      <w:r w:rsidRPr="00ED0EDA">
        <w:rPr>
          <w:rFonts w:ascii="Times New Roman" w:hAnsi="Times New Roman" w:cs="Times New Roman"/>
          <w:i/>
          <w:iCs/>
          <w:color w:val="auto"/>
          <w:sz w:val="20"/>
          <w:szCs w:val="20"/>
          <w:lang w:val="bg-BG"/>
        </w:rPr>
        <w:t>Erich Stauder</w:t>
      </w:r>
      <w:r w:rsidRPr="00ED0EDA">
        <w:rPr>
          <w:rFonts w:ascii="Times New Roman" w:hAnsi="Times New Roman" w:cs="Times New Roman"/>
          <w:color w:val="auto"/>
          <w:sz w:val="20"/>
          <w:szCs w:val="20"/>
          <w:lang w:val="bg-BG"/>
        </w:rPr>
        <w:t xml:space="preserve"> (C–29/69), ECLI:EU:C:1969:57; </w:t>
      </w:r>
      <w:r w:rsidRPr="00ED0EDA">
        <w:rPr>
          <w:rFonts w:ascii="Times New Roman" w:hAnsi="Times New Roman" w:cs="Times New Roman"/>
          <w:i/>
          <w:iCs/>
          <w:color w:val="auto"/>
          <w:sz w:val="20"/>
          <w:szCs w:val="20"/>
          <w:lang w:val="bg-BG"/>
        </w:rPr>
        <w:t>Internationale Handelsgesellschaft mbH</w:t>
      </w:r>
      <w:r w:rsidRPr="00ED0EDA">
        <w:rPr>
          <w:rFonts w:ascii="Times New Roman" w:hAnsi="Times New Roman" w:cs="Times New Roman"/>
          <w:color w:val="auto"/>
          <w:sz w:val="20"/>
          <w:szCs w:val="20"/>
          <w:lang w:val="bg-BG"/>
        </w:rPr>
        <w:t xml:space="preserve"> (C–11/70), ECLI:EU:C:1970:114; </w:t>
      </w:r>
      <w:r w:rsidRPr="00ED0EDA">
        <w:rPr>
          <w:rFonts w:ascii="Times New Roman" w:hAnsi="Times New Roman" w:cs="Times New Roman"/>
          <w:i/>
          <w:iCs/>
          <w:color w:val="auto"/>
          <w:sz w:val="20"/>
          <w:szCs w:val="20"/>
          <w:lang w:val="bg-BG"/>
        </w:rPr>
        <w:t xml:space="preserve">Liselotte Hauer </w:t>
      </w:r>
      <w:r w:rsidRPr="00ED0EDA">
        <w:rPr>
          <w:rFonts w:ascii="Times New Roman" w:hAnsi="Times New Roman" w:cs="Times New Roman"/>
          <w:color w:val="auto"/>
          <w:sz w:val="20"/>
          <w:szCs w:val="20"/>
          <w:lang w:val="bg-BG"/>
        </w:rPr>
        <w:t xml:space="preserve">(C–44/79), ECLI:EU:C:1979:290; </w:t>
      </w:r>
      <w:r w:rsidRPr="00ED0EDA">
        <w:rPr>
          <w:rFonts w:ascii="Times New Roman" w:hAnsi="Times New Roman" w:cs="Times New Roman"/>
          <w:i/>
          <w:iCs/>
          <w:color w:val="auto"/>
          <w:sz w:val="20"/>
          <w:szCs w:val="20"/>
          <w:lang w:val="bg-BG"/>
        </w:rPr>
        <w:t>Georg von Deetzen</w:t>
      </w:r>
      <w:r w:rsidRPr="00ED0EDA">
        <w:rPr>
          <w:rFonts w:ascii="Times New Roman" w:hAnsi="Times New Roman" w:cs="Times New Roman"/>
          <w:color w:val="auto"/>
          <w:sz w:val="20"/>
          <w:szCs w:val="20"/>
          <w:lang w:val="bg-BG"/>
        </w:rPr>
        <w:t xml:space="preserve"> (C–44/89), ECLI:EU:C:1991:401; </w:t>
      </w:r>
      <w:r w:rsidRPr="00ED0EDA">
        <w:rPr>
          <w:rFonts w:ascii="Times New Roman" w:hAnsi="Times New Roman" w:cs="Times New Roman"/>
          <w:i/>
          <w:iCs/>
          <w:color w:val="auto"/>
          <w:sz w:val="20"/>
          <w:szCs w:val="20"/>
          <w:lang w:val="bg-BG"/>
        </w:rPr>
        <w:t>Hoechst AG</w:t>
      </w:r>
      <w:r w:rsidRPr="00ED0EDA">
        <w:rPr>
          <w:rFonts w:ascii="Times New Roman" w:hAnsi="Times New Roman" w:cs="Times New Roman"/>
          <w:color w:val="auto"/>
          <w:sz w:val="20"/>
          <w:szCs w:val="20"/>
          <w:lang w:val="bg-BG"/>
        </w:rPr>
        <w:t xml:space="preserve"> (C–46/87), ECLI:EU:C:1989:337; </w:t>
      </w:r>
      <w:r w:rsidRPr="00ED0EDA">
        <w:rPr>
          <w:rFonts w:ascii="Times New Roman" w:hAnsi="Times New Roman" w:cs="Times New Roman"/>
          <w:i/>
          <w:iCs/>
          <w:color w:val="auto"/>
          <w:sz w:val="20"/>
          <w:szCs w:val="20"/>
          <w:lang w:val="bg-BG"/>
        </w:rPr>
        <w:t>Hoechst AG</w:t>
      </w:r>
      <w:r w:rsidRPr="00ED0EDA">
        <w:rPr>
          <w:rFonts w:ascii="Times New Roman" w:hAnsi="Times New Roman" w:cs="Times New Roman"/>
          <w:color w:val="auto"/>
          <w:sz w:val="20"/>
          <w:szCs w:val="20"/>
          <w:lang w:val="bg-BG"/>
        </w:rPr>
        <w:t xml:space="preserve"> (C–227/88), ECLI:EU:C:1989:337; </w:t>
      </w:r>
      <w:r w:rsidRPr="00ED0EDA">
        <w:rPr>
          <w:rFonts w:ascii="Times New Roman" w:hAnsi="Times New Roman" w:cs="Times New Roman"/>
          <w:i/>
          <w:iCs/>
          <w:color w:val="auto"/>
          <w:sz w:val="20"/>
          <w:szCs w:val="20"/>
          <w:lang w:val="bg-BG"/>
        </w:rPr>
        <w:t xml:space="preserve">Société financière d‘investissements SPRL (SFI) </w:t>
      </w:r>
      <w:r w:rsidRPr="00ED0EDA">
        <w:rPr>
          <w:rFonts w:ascii="Times New Roman" w:hAnsi="Times New Roman" w:cs="Times New Roman"/>
          <w:color w:val="auto"/>
          <w:sz w:val="20"/>
          <w:szCs w:val="20"/>
          <w:lang w:val="bg-BG"/>
        </w:rPr>
        <w:t xml:space="preserve">(C–85/97), ECLI:EU:C:1998:552; </w:t>
      </w:r>
      <w:r w:rsidRPr="00ED0EDA">
        <w:rPr>
          <w:rFonts w:ascii="Times New Roman" w:hAnsi="Times New Roman" w:cs="Times New Roman"/>
          <w:i/>
          <w:iCs/>
          <w:color w:val="auto"/>
          <w:sz w:val="20"/>
          <w:szCs w:val="20"/>
          <w:lang w:val="bg-BG"/>
        </w:rPr>
        <w:t>Weber</w:t>
      </w:r>
      <w:r w:rsidRPr="00ED0EDA">
        <w:rPr>
          <w:rFonts w:ascii="Times New Roman" w:hAnsi="Times New Roman" w:cs="Times New Roman"/>
          <w:color w:val="auto"/>
          <w:sz w:val="20"/>
          <w:szCs w:val="20"/>
          <w:lang w:val="bg-BG"/>
        </w:rPr>
        <w:t xml:space="preserve"> (C–314/91), ECLI:EU:C:2003:396; </w:t>
      </w:r>
      <w:r w:rsidRPr="00ED0EDA">
        <w:rPr>
          <w:rFonts w:ascii="Times New Roman" w:hAnsi="Times New Roman" w:cs="Times New Roman"/>
          <w:i/>
          <w:iCs/>
          <w:color w:val="auto"/>
          <w:sz w:val="20"/>
          <w:szCs w:val="20"/>
          <w:lang w:val="bg-BG"/>
        </w:rPr>
        <w:t>Mannesmann AG</w:t>
      </w:r>
      <w:r w:rsidRPr="00ED0EDA">
        <w:rPr>
          <w:rFonts w:ascii="Times New Roman" w:hAnsi="Times New Roman" w:cs="Times New Roman"/>
          <w:color w:val="auto"/>
          <w:sz w:val="20"/>
          <w:szCs w:val="20"/>
          <w:lang w:val="bg-BG"/>
        </w:rPr>
        <w:t xml:space="preserve"> (C–4/59 and C–13/59), ECLI:EU:C:1960:13.</w:t>
      </w:r>
    </w:p>
  </w:footnote>
  <w:footnote w:id="9">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w:t>
      </w:r>
      <w:r w:rsidRPr="00ED0EDA">
        <w:rPr>
          <w:rStyle w:val="Emphasis"/>
          <w:rFonts w:ascii="Times New Roman" w:hAnsi="Times New Roman"/>
          <w:iCs/>
        </w:rPr>
        <w:t>OJ C 202, 7.6.2016</w:t>
      </w:r>
    </w:p>
  </w:footnote>
  <w:footnote w:id="10">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w:t>
      </w:r>
      <w:r w:rsidRPr="00ED0EDA">
        <w:rPr>
          <w:rFonts w:ascii="Times New Roman" w:hAnsi="Times New Roman"/>
          <w:b/>
          <w:bCs/>
        </w:rPr>
        <w:t>Костов, С.</w:t>
      </w:r>
      <w:r w:rsidRPr="00ED0EDA">
        <w:rPr>
          <w:rFonts w:ascii="Times New Roman" w:hAnsi="Times New Roman"/>
        </w:rPr>
        <w:t xml:space="preserve"> Актове на съда на ЕС. С., Сиби, 2011</w:t>
      </w:r>
    </w:p>
  </w:footnote>
  <w:footnote w:id="11">
    <w:p w:rsidR="005572BD" w:rsidRDefault="005572BD" w:rsidP="007807CD">
      <w:pPr>
        <w:pStyle w:val="zab"/>
        <w:spacing w:line="240" w:lineRule="auto"/>
        <w:ind w:firstLine="360"/>
      </w:pPr>
      <w:r w:rsidRPr="00ED0EDA">
        <w:rPr>
          <w:rFonts w:ascii="Times New Roman" w:hAnsi="Times New Roman" w:cs="Times New Roman"/>
          <w:color w:val="auto"/>
          <w:sz w:val="20"/>
          <w:szCs w:val="20"/>
          <w:vertAlign w:val="superscript"/>
        </w:rPr>
        <w:footnoteRef/>
      </w:r>
      <w:r w:rsidRPr="00ED0EDA">
        <w:rPr>
          <w:rFonts w:ascii="Times New Roman" w:hAnsi="Times New Roman" w:cs="Times New Roman"/>
          <w:color w:val="auto"/>
          <w:sz w:val="20"/>
          <w:szCs w:val="20"/>
          <w:lang w:val="bg-BG"/>
        </w:rPr>
        <w:t xml:space="preserve"> Вж. </w:t>
      </w:r>
      <w:r w:rsidRPr="00ED0EDA">
        <w:rPr>
          <w:rFonts w:ascii="Times New Roman" w:hAnsi="Times New Roman" w:cs="Times New Roman"/>
          <w:b/>
          <w:bCs/>
          <w:color w:val="auto"/>
          <w:sz w:val="20"/>
          <w:szCs w:val="20"/>
          <w:lang w:val="bg-BG"/>
        </w:rPr>
        <w:t>Кръстева, З.</w:t>
      </w:r>
      <w:r w:rsidRPr="00ED0EDA">
        <w:rPr>
          <w:rFonts w:ascii="Times New Roman" w:hAnsi="Times New Roman" w:cs="Times New Roman"/>
          <w:color w:val="auto"/>
          <w:sz w:val="20"/>
          <w:szCs w:val="20"/>
          <w:lang w:val="bg-BG"/>
        </w:rPr>
        <w:t xml:space="preserve"> Разследването на престъпления съгласно ЕКПЧ. С., Сиби, 2015, с. 15–20. </w:t>
      </w:r>
      <w:r w:rsidRPr="00ED0EDA">
        <w:rPr>
          <w:rFonts w:ascii="Times New Roman" w:hAnsi="Times New Roman" w:cs="Times New Roman"/>
          <w:b/>
          <w:bCs/>
          <w:color w:val="auto"/>
          <w:sz w:val="20"/>
          <w:szCs w:val="20"/>
          <w:lang w:val="bg-BG"/>
        </w:rPr>
        <w:t xml:space="preserve">Mowbray, A. </w:t>
      </w:r>
      <w:r w:rsidRPr="00ED0EDA">
        <w:rPr>
          <w:rFonts w:ascii="Times New Roman" w:hAnsi="Times New Roman" w:cs="Times New Roman"/>
          <w:color w:val="auto"/>
          <w:sz w:val="20"/>
          <w:szCs w:val="20"/>
          <w:lang w:val="bg-BG"/>
        </w:rPr>
        <w:t xml:space="preserve">Cases, Materials, and Commentary on the European Convention on Human Rights. 3 ed. Oxford University Press, 2012; </w:t>
      </w:r>
      <w:r w:rsidRPr="00ED0EDA">
        <w:rPr>
          <w:rFonts w:ascii="Times New Roman" w:hAnsi="Times New Roman" w:cs="Times New Roman"/>
          <w:b/>
          <w:bCs/>
          <w:color w:val="auto"/>
          <w:sz w:val="20"/>
          <w:szCs w:val="20"/>
          <w:lang w:val="bg-BG"/>
        </w:rPr>
        <w:t xml:space="preserve">Harris, D. J., M. O’Boyle, E. Bates, C. Buckley. </w:t>
      </w:r>
      <w:r w:rsidRPr="00ED0EDA">
        <w:rPr>
          <w:rFonts w:ascii="Times New Roman" w:hAnsi="Times New Roman" w:cs="Times New Roman"/>
          <w:color w:val="auto"/>
          <w:sz w:val="20"/>
          <w:szCs w:val="20"/>
          <w:lang w:val="bg-BG"/>
        </w:rPr>
        <w:t>Law of the European Convention on Human Rights. Oxford University Press, 2014.</w:t>
      </w:r>
    </w:p>
  </w:footnote>
  <w:footnote w:id="12">
    <w:p w:rsidR="005572BD" w:rsidRDefault="005572BD" w:rsidP="007807CD">
      <w:pPr>
        <w:pStyle w:val="zab"/>
        <w:spacing w:line="240" w:lineRule="auto"/>
        <w:ind w:firstLine="360"/>
      </w:pPr>
      <w:r w:rsidRPr="00ED0EDA">
        <w:rPr>
          <w:rFonts w:ascii="Times New Roman" w:hAnsi="Times New Roman" w:cs="Times New Roman"/>
          <w:color w:val="auto"/>
          <w:sz w:val="20"/>
          <w:szCs w:val="20"/>
          <w:vertAlign w:val="superscript"/>
        </w:rPr>
        <w:footnoteRef/>
      </w:r>
      <w:r w:rsidRPr="00ED0EDA">
        <w:rPr>
          <w:rFonts w:ascii="Times New Roman" w:hAnsi="Times New Roman" w:cs="Times New Roman"/>
          <w:color w:val="auto"/>
          <w:sz w:val="20"/>
          <w:szCs w:val="20"/>
        </w:rPr>
        <w:t xml:space="preserve"> Вж. производство по даване на становище 2/13 от 18.12.2014 г. на пленума на СЕС, достъпно на: http://curia.europa.eu/juris/document/document_print.jsf;jsessionid=9ea7d2dc30d62cd7a99f3ea94f8998a1979d63826bfb.e34KaxiLc3qMb40Rch0SaxyMbhz0?doclang=BG&amp;text=&amp;pageIndex=0&amp;docid=160882&amp;cid=848968.</w:t>
      </w:r>
    </w:p>
  </w:footnote>
  <w:footnote w:id="13">
    <w:p w:rsidR="005572BD" w:rsidRDefault="005572BD" w:rsidP="007807CD">
      <w:pPr>
        <w:pStyle w:val="zab"/>
        <w:spacing w:line="240" w:lineRule="auto"/>
        <w:ind w:firstLine="360"/>
      </w:pPr>
      <w:r w:rsidRPr="00ED0EDA">
        <w:rPr>
          <w:rFonts w:ascii="Times New Roman" w:hAnsi="Times New Roman" w:cs="Times New Roman"/>
          <w:color w:val="auto"/>
          <w:sz w:val="20"/>
          <w:szCs w:val="20"/>
          <w:vertAlign w:val="superscript"/>
        </w:rPr>
        <w:footnoteRef/>
      </w:r>
      <w:r w:rsidRPr="00ED0EDA">
        <w:rPr>
          <w:rFonts w:ascii="Times New Roman" w:hAnsi="Times New Roman" w:cs="Times New Roman"/>
          <w:color w:val="auto"/>
          <w:sz w:val="20"/>
          <w:szCs w:val="20"/>
          <w:lang w:val="bg-BG"/>
        </w:rPr>
        <w:t xml:space="preserve"> Съдът е уточнил, че ЕКПЧ има особено значение (вж. по-специално решения ERT, C–260/89, EU:C:1991:254, т. 41, както и </w:t>
      </w:r>
      <w:r w:rsidRPr="00ED0EDA">
        <w:rPr>
          <w:rFonts w:ascii="Times New Roman" w:hAnsi="Times New Roman" w:cs="Times New Roman"/>
          <w:i/>
          <w:iCs/>
          <w:color w:val="auto"/>
          <w:sz w:val="20"/>
          <w:szCs w:val="20"/>
          <w:lang w:val="bg-BG"/>
        </w:rPr>
        <w:t>Kadi и Al Barakaat International Foundation/Съвет и Комисия</w:t>
      </w:r>
      <w:r w:rsidRPr="00ED0EDA">
        <w:rPr>
          <w:rFonts w:ascii="Times New Roman" w:hAnsi="Times New Roman" w:cs="Times New Roman"/>
          <w:color w:val="auto"/>
          <w:sz w:val="20"/>
          <w:szCs w:val="20"/>
          <w:lang w:val="bg-BG"/>
        </w:rPr>
        <w:t xml:space="preserve">, C–402/05 P и C–415/05 P, EU:C:2008:461, т. 283). </w:t>
      </w:r>
    </w:p>
  </w:footnote>
  <w:footnote w:id="14">
    <w:p w:rsidR="005572BD" w:rsidRDefault="005572BD" w:rsidP="007807CD">
      <w:pPr>
        <w:pStyle w:val="zab"/>
        <w:spacing w:line="240" w:lineRule="auto"/>
      </w:pPr>
      <w:r>
        <w:rPr>
          <w:vertAlign w:val="superscript"/>
        </w:rPr>
        <w:footnoteRef/>
      </w:r>
      <w:r>
        <w:rPr>
          <w:lang w:val="bg-BG"/>
        </w:rPr>
        <w:t xml:space="preserve"> </w:t>
      </w:r>
      <w:r>
        <w:rPr>
          <w:b/>
          <w:bCs/>
          <w:lang w:val="bg-BG"/>
        </w:rPr>
        <w:t>Костов. С.</w:t>
      </w:r>
      <w:r>
        <w:rPr>
          <w:lang w:val="bg-BG"/>
        </w:rPr>
        <w:t xml:space="preserve"> Цит. съч., с. 241.</w:t>
      </w:r>
    </w:p>
  </w:footnote>
  <w:footnote w:id="15">
    <w:p w:rsidR="005572BD" w:rsidRDefault="005572BD" w:rsidP="007807CD">
      <w:pPr>
        <w:pStyle w:val="zab"/>
        <w:spacing w:line="240" w:lineRule="auto"/>
      </w:pPr>
      <w:r>
        <w:rPr>
          <w:vertAlign w:val="superscript"/>
        </w:rPr>
        <w:footnoteRef/>
      </w:r>
      <w:r>
        <w:rPr>
          <w:lang w:val="bg-BG"/>
        </w:rPr>
        <w:t xml:space="preserve"> По отношение на правните принципи в публичното право виж: </w:t>
      </w:r>
      <w:r>
        <w:rPr>
          <w:b/>
          <w:bCs/>
          <w:lang w:val="bg-BG"/>
        </w:rPr>
        <w:t>Valchev, D.</w:t>
      </w:r>
      <w:r>
        <w:rPr>
          <w:lang w:val="bg-BG"/>
        </w:rPr>
        <w:t xml:space="preserve"> Legal Principles in Public Law. – </w:t>
      </w:r>
      <w:r>
        <w:t xml:space="preserve">In: </w:t>
      </w:r>
      <w:r>
        <w:rPr>
          <w:b/>
          <w:bCs/>
        </w:rPr>
        <w:t>Belov, M.</w:t>
      </w:r>
      <w:r>
        <w:t xml:space="preserve"> (ed.) </w:t>
      </w:r>
      <w:r>
        <w:rPr>
          <w:lang w:val="bg-BG"/>
        </w:rPr>
        <w:t>Rule of Law at the Beginning of the Twenty-First Century, p. 3–8</w:t>
      </w:r>
      <w:r>
        <w:rPr>
          <w:lang w:val="en-GB"/>
        </w:rPr>
        <w:t>.</w:t>
      </w:r>
    </w:p>
  </w:footnote>
  <w:footnote w:id="16">
    <w:p w:rsidR="005572BD" w:rsidRDefault="005572BD" w:rsidP="007807CD">
      <w:pPr>
        <w:pStyle w:val="zab"/>
        <w:spacing w:line="240" w:lineRule="auto"/>
      </w:pPr>
      <w:r>
        <w:rPr>
          <w:vertAlign w:val="superscript"/>
        </w:rPr>
        <w:footnoteRef/>
      </w:r>
      <w:r>
        <w:t xml:space="preserve"> Институциите на Съюза прилагат принципа на субсидиарността съгласно посоченото в Протокола към Договора от Лисабон относно прилагането на принципите на субсидиарност и на пропорционалност. Националните парламенти гарантират прилагането на принципа на субсидиарност в съответствие с процедурата, изложена в горецитирания протокол. За повече информация относно дейностите им посетете: http://www.ipex.eu/IPEXL-WEB/home/home.do</w:t>
      </w:r>
    </w:p>
  </w:footnote>
  <w:footnote w:id="17">
    <w:p w:rsidR="005572BD" w:rsidRDefault="005572BD" w:rsidP="007807CD">
      <w:pPr>
        <w:pStyle w:val="zab"/>
        <w:spacing w:line="240" w:lineRule="auto"/>
      </w:pPr>
      <w:r>
        <w:rPr>
          <w:vertAlign w:val="superscript"/>
        </w:rPr>
        <w:footnoteRef/>
      </w:r>
      <w:r>
        <w:rPr>
          <w:spacing w:val="-2"/>
          <w:lang w:val="bg-BG"/>
        </w:rPr>
        <w:t xml:space="preserve"> Дело C–453/00, </w:t>
      </w:r>
      <w:r>
        <w:rPr>
          <w:rFonts w:ascii="SP TimeML" w:hAnsi="SP TimeML" w:cs="SP TimeML"/>
          <w:i/>
          <w:iCs/>
          <w:spacing w:val="-2"/>
          <w:lang w:val="bg-BG"/>
        </w:rPr>
        <w:t>Kühne</w:t>
      </w:r>
      <w:r>
        <w:rPr>
          <w:i/>
          <w:iCs/>
          <w:spacing w:val="-2"/>
          <w:lang w:val="bg-BG"/>
        </w:rPr>
        <w:t xml:space="preserve"> &amp; Heitz</w:t>
      </w:r>
      <w:r>
        <w:rPr>
          <w:spacing w:val="-2"/>
          <w:lang w:val="bg-BG"/>
        </w:rPr>
        <w:t>: „Правната сигурност е един от редица общи принципи, признати от общностното право. Окончателният характер на административното решение, постигнат след изтичането на разумни срокове за обжалване или чрез изчерпване на способите за защита, допринася за тази правна сигурност, поради което общностното право не изисква административният орган да е поначало длъжен да оттегли едно окончателно административно решение“</w:t>
      </w:r>
      <w:r>
        <w:rPr>
          <w:spacing w:val="-2"/>
        </w:rPr>
        <w:t>.</w:t>
      </w:r>
    </w:p>
  </w:footnote>
  <w:footnote w:id="18">
    <w:p w:rsidR="005572BD" w:rsidRDefault="005572BD" w:rsidP="007807CD">
      <w:pPr>
        <w:pStyle w:val="zab"/>
        <w:spacing w:line="240" w:lineRule="auto"/>
      </w:pPr>
      <w:r>
        <w:rPr>
          <w:vertAlign w:val="superscript"/>
        </w:rPr>
        <w:footnoteRef/>
      </w:r>
      <w:r>
        <w:rPr>
          <w:lang w:val="bg-BG"/>
        </w:rPr>
        <w:t xml:space="preserve"> </w:t>
      </w:r>
      <w:r>
        <w:rPr>
          <w:i/>
          <w:iCs/>
          <w:lang w:val="bg-BG"/>
        </w:rPr>
        <w:t>Stauder v City of Ulm</w:t>
      </w:r>
      <w:r>
        <w:rPr>
          <w:lang w:val="bg-BG"/>
        </w:rPr>
        <w:t xml:space="preserve"> (дело 29/69) 1969 г.; </w:t>
      </w:r>
      <w:r>
        <w:rPr>
          <w:i/>
          <w:iCs/>
          <w:lang w:val="bg-BG"/>
        </w:rPr>
        <w:t>Internationale Handelsgesellschaft mbH v Einfuhr – und Vorratsstelle fur Getreide und Futtermittel</w:t>
      </w:r>
      <w:r>
        <w:rPr>
          <w:lang w:val="bg-BG"/>
        </w:rPr>
        <w:t xml:space="preserve"> (дело 11/70) 1970 г.</w:t>
      </w:r>
    </w:p>
  </w:footnote>
  <w:footnote w:id="19">
    <w:p w:rsidR="005572BD" w:rsidRDefault="005572BD" w:rsidP="007807CD">
      <w:pPr>
        <w:pStyle w:val="zab"/>
        <w:spacing w:line="240" w:lineRule="auto"/>
        <w:ind w:firstLine="360"/>
      </w:pPr>
      <w:r w:rsidRPr="00ED0EDA">
        <w:rPr>
          <w:rFonts w:ascii="Times New Roman" w:hAnsi="Times New Roman" w:cs="Times New Roman"/>
          <w:sz w:val="20"/>
          <w:szCs w:val="20"/>
          <w:vertAlign w:val="superscript"/>
        </w:rPr>
        <w:footnoteRef/>
      </w:r>
      <w:r w:rsidRPr="00ED0EDA">
        <w:rPr>
          <w:rFonts w:ascii="Times New Roman" w:hAnsi="Times New Roman" w:cs="Times New Roman"/>
          <w:sz w:val="20"/>
          <w:szCs w:val="20"/>
          <w:lang w:val="bg-BG"/>
        </w:rPr>
        <w:t xml:space="preserve"> Относно тези принципи на правото на ЕС вж. </w:t>
      </w:r>
      <w:r w:rsidRPr="00ED0EDA">
        <w:rPr>
          <w:rFonts w:ascii="Times New Roman" w:hAnsi="Times New Roman" w:cs="Times New Roman"/>
          <w:b/>
          <w:bCs/>
          <w:sz w:val="20"/>
          <w:szCs w:val="20"/>
          <w:lang w:val="bg-BG"/>
        </w:rPr>
        <w:t xml:space="preserve">Семов, Ат. </w:t>
      </w:r>
      <w:r w:rsidRPr="00ED0EDA">
        <w:rPr>
          <w:rFonts w:ascii="Times New Roman" w:hAnsi="Times New Roman" w:cs="Times New Roman"/>
          <w:sz w:val="20"/>
          <w:szCs w:val="20"/>
          <w:lang w:val="bg-BG"/>
        </w:rPr>
        <w:t>Принципи на прилагане на правото на Европейския съюз. С., Инст. по публична администрация</w:t>
      </w:r>
      <w:r>
        <w:rPr>
          <w:rFonts w:ascii="Times New Roman" w:hAnsi="Times New Roman" w:cs="Times New Roman"/>
          <w:sz w:val="20"/>
          <w:szCs w:val="20"/>
          <w:lang w:val="bg-BG"/>
        </w:rPr>
        <w:t xml:space="preserve"> и европейска интеграция, 2007.</w:t>
      </w:r>
    </w:p>
  </w:footnote>
  <w:footnote w:id="20">
    <w:p w:rsidR="005572BD" w:rsidRDefault="005572BD" w:rsidP="007807CD">
      <w:pPr>
        <w:pStyle w:val="zab"/>
        <w:spacing w:line="240" w:lineRule="auto"/>
      </w:pPr>
      <w:r w:rsidRPr="00ED0EDA">
        <w:rPr>
          <w:rFonts w:ascii="Times New Roman" w:hAnsi="Times New Roman" w:cs="Times New Roman"/>
          <w:sz w:val="20"/>
          <w:szCs w:val="20"/>
          <w:vertAlign w:val="superscript"/>
        </w:rPr>
        <w:footnoteRef/>
      </w:r>
      <w:r w:rsidRPr="00ED0EDA">
        <w:rPr>
          <w:rFonts w:ascii="Times New Roman" w:hAnsi="Times New Roman" w:cs="Times New Roman"/>
          <w:sz w:val="20"/>
          <w:szCs w:val="20"/>
          <w:lang w:val="bg-BG"/>
        </w:rPr>
        <w:t xml:space="preserve"> </w:t>
      </w:r>
      <w:r w:rsidRPr="00ED0EDA">
        <w:rPr>
          <w:rFonts w:ascii="Times New Roman" w:hAnsi="Times New Roman" w:cs="Times New Roman"/>
          <w:b/>
          <w:bCs/>
          <w:sz w:val="20"/>
          <w:szCs w:val="20"/>
          <w:lang w:val="bg-BG"/>
        </w:rPr>
        <w:t xml:space="preserve">Начев, Д. </w:t>
      </w:r>
      <w:r>
        <w:rPr>
          <w:rFonts w:ascii="OpenSans" w:hAnsi="OpenSans"/>
          <w:b/>
          <w:bCs/>
          <w:color w:val="333333"/>
          <w:shd w:val="clear" w:color="auto" w:fill="FFFFFF"/>
        </w:rPr>
        <w:t>Общи принципи на правото на Европейския съюз</w:t>
      </w:r>
      <w:r>
        <w:rPr>
          <w:rFonts w:ascii="OpenSans" w:hAnsi="OpenSans"/>
          <w:color w:val="333333"/>
          <w:shd w:val="clear" w:color="auto" w:fill="FFFFFF"/>
        </w:rPr>
        <w:t>, Научни четения на тема "Правни норми и правни принципи", издателство:Университетско издателство "Св. Климент Охридски", 2017, стр.:350-358</w:t>
      </w:r>
      <w:r>
        <w:rPr>
          <w:lang w:val="bg-BG"/>
        </w:rPr>
        <w:t>с. 350.</w:t>
      </w:r>
    </w:p>
  </w:footnote>
  <w:footnote w:id="21">
    <w:p w:rsidR="005572BD" w:rsidRDefault="005572BD" w:rsidP="007807CD">
      <w:pPr>
        <w:pStyle w:val="zab"/>
        <w:spacing w:line="240" w:lineRule="auto"/>
      </w:pPr>
      <w:r>
        <w:rPr>
          <w:vertAlign w:val="superscript"/>
        </w:rPr>
        <w:footnoteRef/>
      </w:r>
      <w:r>
        <w:rPr>
          <w:lang w:val="bg-BG"/>
        </w:rPr>
        <w:t xml:space="preserve"> </w:t>
      </w:r>
      <w:r>
        <w:rPr>
          <w:b/>
          <w:bCs/>
          <w:lang w:val="bg-BG"/>
        </w:rPr>
        <w:t>Стоилов, Я.</w:t>
      </w:r>
      <w:r>
        <w:rPr>
          <w:lang w:val="bg-BG"/>
        </w:rPr>
        <w:t xml:space="preserve"> Правните принципи. С., Сиби, 2018, с. 312.</w:t>
      </w:r>
    </w:p>
  </w:footnote>
  <w:footnote w:id="22">
    <w:p w:rsidR="005572BD" w:rsidRPr="00ED0EDA" w:rsidRDefault="005572BD" w:rsidP="007807CD">
      <w:pPr>
        <w:pStyle w:val="zab"/>
        <w:spacing w:line="240" w:lineRule="auto"/>
        <w:ind w:firstLine="360"/>
        <w:rPr>
          <w:rFonts w:ascii="Times New Roman" w:hAnsi="Times New Roman" w:cs="Times New Roman"/>
          <w:sz w:val="20"/>
          <w:szCs w:val="20"/>
          <w:lang w:val="bg-BG"/>
        </w:rPr>
      </w:pPr>
      <w:r w:rsidRPr="00ED0EDA">
        <w:rPr>
          <w:rFonts w:ascii="Times New Roman" w:hAnsi="Times New Roman" w:cs="Times New Roman"/>
          <w:sz w:val="20"/>
          <w:szCs w:val="20"/>
          <w:vertAlign w:val="superscript"/>
        </w:rPr>
        <w:footnoteRef/>
      </w:r>
      <w:r w:rsidRPr="00ED0EDA">
        <w:rPr>
          <w:rFonts w:ascii="Times New Roman" w:hAnsi="Times New Roman" w:cs="Times New Roman"/>
          <w:sz w:val="20"/>
          <w:szCs w:val="20"/>
          <w:lang w:val="bg-BG"/>
        </w:rPr>
        <w:t xml:space="preserve"> </w:t>
      </w:r>
      <w:r w:rsidRPr="00ED0EDA">
        <w:rPr>
          <w:rFonts w:ascii="Times New Roman" w:hAnsi="Times New Roman" w:cs="Times New Roman"/>
          <w:b/>
          <w:bCs/>
          <w:sz w:val="20"/>
          <w:szCs w:val="20"/>
          <w:lang w:val="bg-BG"/>
        </w:rPr>
        <w:t xml:space="preserve">„Т. 27 </w:t>
      </w:r>
      <w:r w:rsidRPr="00ED0EDA">
        <w:rPr>
          <w:rFonts w:ascii="Times New Roman" w:hAnsi="Times New Roman" w:cs="Times New Roman"/>
          <w:sz w:val="20"/>
          <w:szCs w:val="20"/>
          <w:lang w:val="bg-BG"/>
        </w:rPr>
        <w:t xml:space="preserve">Във връзка с това от съдебната практика произтича, че при липсата на конкретна разпоредба в Директивата за ДДС относно доказателствата, които трябва да представят данъчнозадължените лица, за да се ползват от освобождаването от ДДС, в правомощията на държавите членки е да определят – в съответствие с член 131 от тази Директива – условията, при които освобождават вътреобщностните доставки, за да гарантират правилното и ясно прилагане на посочените освобождавания и да предотвратят всяка евентуална измама, избягване на данъци или злоупотреба. При упражняване на своите правомощия обаче държавите членки следва да спазват основните принципи на правото, част от правния ред на Съюза, сред които фигурират по-конкретно принципите на правна сигурност и на пропорционалност (Решение </w:t>
      </w:r>
      <w:r w:rsidRPr="00ED0EDA">
        <w:rPr>
          <w:rFonts w:ascii="Times New Roman" w:hAnsi="Times New Roman" w:cs="Times New Roman"/>
          <w:i/>
          <w:iCs/>
          <w:sz w:val="20"/>
          <w:szCs w:val="20"/>
          <w:lang w:val="bg-BG"/>
        </w:rPr>
        <w:t>Mecsek-Gabona</w:t>
      </w:r>
      <w:r w:rsidRPr="00ED0EDA">
        <w:rPr>
          <w:rFonts w:ascii="Times New Roman" w:hAnsi="Times New Roman" w:cs="Times New Roman"/>
          <w:sz w:val="20"/>
          <w:szCs w:val="20"/>
          <w:lang w:val="bg-BG"/>
        </w:rPr>
        <w:t xml:space="preserve">, EU:C:2012:547, т. 36 и цитираната съдебна практика). </w:t>
      </w:r>
    </w:p>
    <w:p w:rsidR="005572BD" w:rsidRPr="00ED0EDA" w:rsidRDefault="005572BD" w:rsidP="007807CD">
      <w:pPr>
        <w:pStyle w:val="zab"/>
        <w:spacing w:line="240" w:lineRule="auto"/>
        <w:ind w:firstLine="360"/>
        <w:rPr>
          <w:rFonts w:ascii="Times New Roman" w:hAnsi="Times New Roman" w:cs="Times New Roman"/>
          <w:sz w:val="20"/>
          <w:szCs w:val="20"/>
          <w:lang w:val="bg-BG"/>
        </w:rPr>
      </w:pPr>
      <w:r w:rsidRPr="00ED0EDA">
        <w:rPr>
          <w:rFonts w:ascii="Times New Roman" w:hAnsi="Times New Roman" w:cs="Times New Roman"/>
          <w:b/>
          <w:bCs/>
          <w:sz w:val="20"/>
          <w:szCs w:val="20"/>
          <w:lang w:val="bg-BG"/>
        </w:rPr>
        <w:t>Т. 28</w:t>
      </w:r>
      <w:r w:rsidRPr="00ED0EDA">
        <w:rPr>
          <w:rFonts w:ascii="Times New Roman" w:hAnsi="Times New Roman" w:cs="Times New Roman"/>
          <w:sz w:val="20"/>
          <w:szCs w:val="20"/>
          <w:lang w:val="bg-BG"/>
        </w:rPr>
        <w:t xml:space="preserve"> Принципът на правна сигурност, следствие от който е принципът на защита на оправданите правни очаквания, изисква, от една страна, правните норми да бъдат ясни и точни, а от друга страна, прилагането им да е предвидимо за лицата (Решение </w:t>
      </w:r>
      <w:r w:rsidRPr="00ED0EDA">
        <w:rPr>
          <w:rFonts w:ascii="Times New Roman" w:hAnsi="Times New Roman" w:cs="Times New Roman"/>
          <w:i/>
          <w:iCs/>
          <w:sz w:val="20"/>
          <w:szCs w:val="20"/>
          <w:lang w:val="bg-BG"/>
        </w:rPr>
        <w:t>Plantanol</w:t>
      </w:r>
      <w:r w:rsidRPr="00ED0EDA">
        <w:rPr>
          <w:rFonts w:ascii="Times New Roman" w:hAnsi="Times New Roman" w:cs="Times New Roman"/>
          <w:sz w:val="20"/>
          <w:szCs w:val="20"/>
          <w:lang w:val="bg-BG"/>
        </w:rPr>
        <w:t xml:space="preserve">, C–201/08, EU:C:2009:539, т. 46 и цитираната съдебна практика). </w:t>
      </w:r>
    </w:p>
    <w:p w:rsidR="005572BD" w:rsidRPr="00ED0EDA" w:rsidRDefault="005572BD" w:rsidP="007807CD">
      <w:pPr>
        <w:pStyle w:val="zab"/>
        <w:spacing w:line="240" w:lineRule="auto"/>
        <w:ind w:firstLine="360"/>
        <w:rPr>
          <w:rFonts w:ascii="Times New Roman" w:hAnsi="Times New Roman" w:cs="Times New Roman"/>
          <w:sz w:val="20"/>
          <w:szCs w:val="20"/>
          <w:lang w:val="bg-BG"/>
        </w:rPr>
      </w:pPr>
      <w:r w:rsidRPr="00ED0EDA">
        <w:rPr>
          <w:rFonts w:ascii="Times New Roman" w:hAnsi="Times New Roman" w:cs="Times New Roman"/>
          <w:b/>
          <w:bCs/>
          <w:sz w:val="20"/>
          <w:szCs w:val="20"/>
          <w:lang w:val="bg-BG"/>
        </w:rPr>
        <w:t>Т. 29</w:t>
      </w:r>
      <w:r w:rsidRPr="00ED0EDA">
        <w:rPr>
          <w:rFonts w:ascii="Times New Roman" w:hAnsi="Times New Roman" w:cs="Times New Roman"/>
          <w:sz w:val="20"/>
          <w:szCs w:val="20"/>
          <w:lang w:val="bg-BG"/>
        </w:rPr>
        <w:t xml:space="preserve"> Важно е да се напомни, че този принцип се налага с особена строгост, когато става въпрос за правна уредба, която може да породи финансови задължения, за да се позволи на заинтересованите лица да се запознаят с точния обхват на задълженията, които тя им налага. Следователно е необходимо данъчнозадължените лица да познават своите данъчни задължения, преди да сключат сделка (вж. Решение </w:t>
      </w:r>
      <w:r w:rsidRPr="00ED0EDA">
        <w:rPr>
          <w:rFonts w:ascii="Times New Roman" w:hAnsi="Times New Roman" w:cs="Times New Roman"/>
          <w:i/>
          <w:iCs/>
          <w:sz w:val="20"/>
          <w:szCs w:val="20"/>
          <w:lang w:val="bg-BG"/>
        </w:rPr>
        <w:t>Teleos</w:t>
      </w:r>
      <w:r w:rsidRPr="00ED0EDA">
        <w:rPr>
          <w:rFonts w:ascii="Times New Roman" w:hAnsi="Times New Roman" w:cs="Times New Roman"/>
          <w:sz w:val="20"/>
          <w:szCs w:val="20"/>
          <w:lang w:val="bg-BG"/>
        </w:rPr>
        <w:t xml:space="preserve"> и др., EU:C:2007:548, т. 48 и цитираната съдебна практика)“.</w:t>
      </w:r>
    </w:p>
    <w:p w:rsidR="005572BD" w:rsidRPr="00ED0EDA" w:rsidRDefault="005572BD" w:rsidP="007807CD">
      <w:pPr>
        <w:pStyle w:val="BasicParagraph"/>
        <w:spacing w:line="240" w:lineRule="auto"/>
        <w:ind w:firstLine="360"/>
        <w:jc w:val="both"/>
        <w:rPr>
          <w:rFonts w:ascii="Times New Roman" w:hAnsi="Times New Roman" w:cs="Times New Roman"/>
          <w:sz w:val="20"/>
          <w:szCs w:val="20"/>
          <w:lang w:val="bg-BG"/>
        </w:rPr>
      </w:pPr>
      <w:r w:rsidRPr="00ED0EDA">
        <w:rPr>
          <w:rFonts w:ascii="Times New Roman" w:hAnsi="Times New Roman" w:cs="Times New Roman"/>
          <w:sz w:val="20"/>
          <w:szCs w:val="20"/>
          <w:lang w:val="bg-BG"/>
        </w:rPr>
        <w:t xml:space="preserve">Виж и решения по дела: C–284/11 </w:t>
      </w:r>
      <w:r w:rsidRPr="00ED0EDA">
        <w:rPr>
          <w:rFonts w:ascii="Times New Roman" w:hAnsi="Times New Roman" w:cs="Times New Roman"/>
          <w:i/>
          <w:iCs/>
          <w:sz w:val="20"/>
          <w:szCs w:val="20"/>
          <w:lang w:val="bg-BG"/>
        </w:rPr>
        <w:t>„ЕМС-България транспорт“ ООД</w:t>
      </w:r>
      <w:r w:rsidRPr="00ED0EDA">
        <w:rPr>
          <w:rFonts w:ascii="Times New Roman" w:hAnsi="Times New Roman" w:cs="Times New Roman"/>
          <w:sz w:val="20"/>
          <w:szCs w:val="20"/>
          <w:lang w:val="bg-BG"/>
        </w:rPr>
        <w:t xml:space="preserve">; С–138/12 </w:t>
      </w:r>
      <w:r w:rsidRPr="00ED0EDA">
        <w:rPr>
          <w:rFonts w:ascii="Times New Roman" w:hAnsi="Times New Roman" w:cs="Times New Roman"/>
          <w:i/>
          <w:iCs/>
          <w:sz w:val="20"/>
          <w:szCs w:val="20"/>
          <w:lang w:val="bg-BG"/>
        </w:rPr>
        <w:t>„Руседеспред“ ООД</w:t>
      </w:r>
      <w:r w:rsidRPr="00ED0EDA">
        <w:rPr>
          <w:rFonts w:ascii="Times New Roman" w:hAnsi="Times New Roman" w:cs="Times New Roman"/>
          <w:sz w:val="20"/>
          <w:szCs w:val="20"/>
          <w:lang w:val="bg-BG"/>
        </w:rPr>
        <w:t xml:space="preserve">; C–111/14 </w:t>
      </w:r>
      <w:r w:rsidRPr="00ED0EDA">
        <w:rPr>
          <w:rFonts w:ascii="Times New Roman" w:hAnsi="Times New Roman" w:cs="Times New Roman"/>
          <w:i/>
          <w:iCs/>
          <w:sz w:val="20"/>
          <w:szCs w:val="20"/>
          <w:lang w:val="bg-BG"/>
        </w:rPr>
        <w:t>ГСТ – Сървиз АГ Германия</w:t>
      </w:r>
      <w:r w:rsidRPr="00ED0EDA">
        <w:rPr>
          <w:rFonts w:ascii="Times New Roman" w:hAnsi="Times New Roman" w:cs="Times New Roman"/>
          <w:sz w:val="20"/>
          <w:szCs w:val="20"/>
          <w:lang w:val="bg-BG"/>
        </w:rPr>
        <w:t>.</w:t>
      </w:r>
    </w:p>
    <w:p w:rsidR="005572BD" w:rsidRDefault="005572BD" w:rsidP="007807CD">
      <w:pPr>
        <w:pStyle w:val="BasicParagraph"/>
        <w:spacing w:line="240" w:lineRule="auto"/>
        <w:ind w:firstLine="360"/>
        <w:jc w:val="both"/>
      </w:pPr>
    </w:p>
  </w:footnote>
  <w:footnote w:id="23">
    <w:p w:rsidR="005572BD" w:rsidRPr="00ED0EDA" w:rsidRDefault="005572BD" w:rsidP="007807CD">
      <w:pPr>
        <w:pStyle w:val="zab"/>
        <w:spacing w:line="240" w:lineRule="auto"/>
        <w:ind w:firstLine="360"/>
        <w:rPr>
          <w:rFonts w:ascii="Times New Roman" w:hAnsi="Times New Roman" w:cs="Times New Roman"/>
          <w:b/>
          <w:bCs/>
          <w:spacing w:val="-7"/>
          <w:sz w:val="20"/>
          <w:szCs w:val="20"/>
          <w:lang w:val="bg-BG"/>
        </w:rPr>
      </w:pPr>
      <w:r w:rsidRPr="00ED0EDA">
        <w:rPr>
          <w:rFonts w:ascii="Times New Roman" w:hAnsi="Times New Roman" w:cs="Times New Roman"/>
          <w:sz w:val="20"/>
          <w:szCs w:val="20"/>
          <w:vertAlign w:val="superscript"/>
        </w:rPr>
        <w:footnoteRef/>
      </w:r>
      <w:r w:rsidRPr="00ED0EDA">
        <w:rPr>
          <w:rFonts w:ascii="Times New Roman" w:hAnsi="Times New Roman" w:cs="Times New Roman"/>
          <w:spacing w:val="-7"/>
          <w:sz w:val="20"/>
          <w:szCs w:val="20"/>
          <w:lang w:val="bg-BG"/>
        </w:rPr>
        <w:t xml:space="preserve"> </w:t>
      </w:r>
      <w:r w:rsidRPr="00ED0EDA">
        <w:rPr>
          <w:rFonts w:ascii="Times New Roman" w:hAnsi="Times New Roman" w:cs="Times New Roman"/>
          <w:b/>
          <w:bCs/>
          <w:spacing w:val="-7"/>
          <w:sz w:val="20"/>
          <w:szCs w:val="20"/>
          <w:lang w:val="bg-BG"/>
        </w:rPr>
        <w:t xml:space="preserve">Kofler, G., </w:t>
      </w:r>
      <w:r w:rsidRPr="00ED0EDA">
        <w:rPr>
          <w:rFonts w:ascii="Times New Roman" w:hAnsi="Times New Roman" w:cs="Times New Roman"/>
          <w:b/>
          <w:bCs/>
          <w:spacing w:val="-7"/>
          <w:sz w:val="20"/>
          <w:szCs w:val="20"/>
          <w:lang w:val="en-GB"/>
        </w:rPr>
        <w:t xml:space="preserve">P. </w:t>
      </w:r>
      <w:r w:rsidRPr="00ED0EDA">
        <w:rPr>
          <w:rFonts w:ascii="Times New Roman" w:hAnsi="Times New Roman" w:cs="Times New Roman"/>
          <w:b/>
          <w:bCs/>
          <w:spacing w:val="-7"/>
          <w:sz w:val="20"/>
          <w:szCs w:val="20"/>
          <w:lang w:val="bg-BG"/>
        </w:rPr>
        <w:t>Pistone,</w:t>
      </w:r>
      <w:r w:rsidRPr="00ED0EDA">
        <w:rPr>
          <w:rFonts w:ascii="Times New Roman" w:hAnsi="Times New Roman" w:cs="Times New Roman"/>
          <w:spacing w:val="-7"/>
          <w:sz w:val="20"/>
          <w:szCs w:val="20"/>
          <w:lang w:val="bg-BG"/>
        </w:rPr>
        <w:t xml:space="preserve"> General Issues on Taxation and Human Rights.</w:t>
      </w:r>
      <w:r w:rsidRPr="00ED0EDA">
        <w:rPr>
          <w:rFonts w:ascii="Times New Roman" w:hAnsi="Times New Roman" w:cs="Times New Roman"/>
          <w:b/>
          <w:bCs/>
          <w:spacing w:val="-7"/>
          <w:sz w:val="20"/>
          <w:szCs w:val="20"/>
          <w:lang w:val="bg-BG"/>
        </w:rPr>
        <w:t xml:space="preserve"> </w:t>
      </w:r>
      <w:r w:rsidRPr="00ED0EDA">
        <w:rPr>
          <w:rFonts w:ascii="Times New Roman" w:hAnsi="Times New Roman" w:cs="Times New Roman"/>
          <w:spacing w:val="-7"/>
          <w:sz w:val="20"/>
          <w:szCs w:val="20"/>
          <w:lang w:val="bg-BG"/>
        </w:rPr>
        <w:t>Human Rights and Taxation in Europe and the World (ed.</w:t>
      </w:r>
      <w:r w:rsidRPr="00ED0EDA">
        <w:rPr>
          <w:rFonts w:ascii="Times New Roman" w:hAnsi="Times New Roman" w:cs="Times New Roman"/>
          <w:b/>
          <w:bCs/>
          <w:spacing w:val="-7"/>
          <w:sz w:val="20"/>
          <w:szCs w:val="20"/>
          <w:lang w:val="bg-BG"/>
        </w:rPr>
        <w:t xml:space="preserve"> </w:t>
      </w:r>
      <w:r w:rsidRPr="00ED0EDA">
        <w:rPr>
          <w:rFonts w:ascii="Times New Roman" w:hAnsi="Times New Roman" w:cs="Times New Roman"/>
          <w:spacing w:val="-7"/>
          <w:sz w:val="20"/>
          <w:szCs w:val="20"/>
          <w:lang w:val="bg-BG"/>
        </w:rPr>
        <w:t xml:space="preserve">Kofler, G., </w:t>
      </w:r>
      <w:r w:rsidRPr="00ED0EDA">
        <w:rPr>
          <w:rFonts w:ascii="Times New Roman" w:hAnsi="Times New Roman" w:cs="Times New Roman"/>
          <w:spacing w:val="-7"/>
          <w:sz w:val="20"/>
          <w:szCs w:val="20"/>
        </w:rPr>
        <w:t>M</w:t>
      </w:r>
      <w:r w:rsidRPr="00ED0EDA">
        <w:rPr>
          <w:rFonts w:ascii="Times New Roman" w:hAnsi="Times New Roman" w:cs="Times New Roman"/>
          <w:spacing w:val="-7"/>
          <w:sz w:val="20"/>
          <w:szCs w:val="20"/>
          <w:lang w:val="bg-BG"/>
        </w:rPr>
        <w:t>. Poiares, P. Pistone). IBFD, 2011</w:t>
      </w:r>
      <w:r w:rsidRPr="00ED0EDA">
        <w:rPr>
          <w:rFonts w:ascii="Times New Roman" w:hAnsi="Times New Roman" w:cs="Times New Roman"/>
          <w:b/>
          <w:bCs/>
          <w:spacing w:val="-7"/>
          <w:sz w:val="20"/>
          <w:szCs w:val="20"/>
          <w:lang w:val="bg-BG"/>
        </w:rPr>
        <w:t>.</w:t>
      </w:r>
    </w:p>
    <w:p w:rsidR="005572BD" w:rsidRDefault="005572BD" w:rsidP="007807CD">
      <w:pPr>
        <w:pStyle w:val="zab"/>
        <w:spacing w:line="240" w:lineRule="auto"/>
        <w:ind w:firstLine="360"/>
      </w:pPr>
    </w:p>
  </w:footnote>
  <w:footnote w:id="24">
    <w:p w:rsidR="005572BD" w:rsidRDefault="005572BD" w:rsidP="007807CD">
      <w:pPr>
        <w:pStyle w:val="doc-ti"/>
        <w:shd w:val="clear" w:color="auto" w:fill="FFFFFF"/>
        <w:spacing w:before="0" w:beforeAutospacing="0" w:after="0" w:afterAutospacing="0"/>
        <w:ind w:firstLine="360"/>
        <w:jc w:val="both"/>
      </w:pPr>
      <w:r w:rsidRPr="00ED0EDA">
        <w:rPr>
          <w:rStyle w:val="FootnoteReference"/>
          <w:sz w:val="20"/>
          <w:szCs w:val="20"/>
        </w:rPr>
        <w:footnoteRef/>
      </w:r>
      <w:r w:rsidRPr="00ED0EDA">
        <w:rPr>
          <w:sz w:val="20"/>
          <w:szCs w:val="20"/>
          <w:lang w:val="ru-RU"/>
        </w:rPr>
        <w:t xml:space="preserve"> </w:t>
      </w:r>
      <w:r w:rsidRPr="00ED0EDA">
        <w:rPr>
          <w:bCs/>
          <w:sz w:val="20"/>
          <w:szCs w:val="20"/>
          <w:lang w:val="bg-BG"/>
        </w:rPr>
        <w:t xml:space="preserve">Решение на Съвета </w:t>
      </w:r>
      <w:r w:rsidRPr="00ED0EDA">
        <w:rPr>
          <w:bCs/>
          <w:sz w:val="20"/>
          <w:szCs w:val="20"/>
          <w:lang w:val="ru-RU"/>
        </w:rPr>
        <w:t>от 26 май 2014 година</w:t>
      </w:r>
      <w:r w:rsidRPr="00ED0EDA">
        <w:rPr>
          <w:bCs/>
          <w:sz w:val="20"/>
          <w:szCs w:val="20"/>
          <w:lang w:val="bg-BG"/>
        </w:rPr>
        <w:t xml:space="preserve"> </w:t>
      </w:r>
      <w:r w:rsidRPr="00ED0EDA">
        <w:rPr>
          <w:bCs/>
          <w:sz w:val="20"/>
          <w:szCs w:val="20"/>
          <w:lang w:val="ru-RU"/>
        </w:rPr>
        <w:t>относно системата на собствените ресурси на Европейския съюз</w:t>
      </w:r>
      <w:r w:rsidRPr="00ED0EDA">
        <w:rPr>
          <w:bCs/>
          <w:sz w:val="20"/>
          <w:szCs w:val="20"/>
          <w:lang w:val="bg-BG"/>
        </w:rPr>
        <w:t xml:space="preserve"> </w:t>
      </w:r>
      <w:r w:rsidRPr="00ED0EDA">
        <w:rPr>
          <w:rStyle w:val="sp-normal"/>
          <w:bCs/>
          <w:i/>
          <w:iCs/>
          <w:sz w:val="20"/>
          <w:szCs w:val="20"/>
          <w:lang w:val="ru-RU"/>
        </w:rPr>
        <w:t>(2014/335/ЕС, Евратом)</w:t>
      </w:r>
      <w:r w:rsidRPr="00ED0EDA">
        <w:rPr>
          <w:rStyle w:val="Hyperlink"/>
          <w:color w:val="auto"/>
          <w:sz w:val="20"/>
          <w:szCs w:val="20"/>
          <w:shd w:val="clear" w:color="auto" w:fill="FFFFFF"/>
          <w:lang w:val="ru-RU"/>
        </w:rPr>
        <w:t>(</w:t>
      </w:r>
      <w:r w:rsidRPr="00ED0EDA">
        <w:rPr>
          <w:rStyle w:val="Emphasis"/>
          <w:iCs/>
          <w:sz w:val="20"/>
          <w:szCs w:val="20"/>
          <w:shd w:val="clear" w:color="auto" w:fill="FFFFFF"/>
        </w:rPr>
        <w:t>OJ</w:t>
      </w:r>
      <w:r w:rsidRPr="00ED0EDA">
        <w:rPr>
          <w:rStyle w:val="Emphasis"/>
          <w:iCs/>
          <w:sz w:val="20"/>
          <w:szCs w:val="20"/>
          <w:shd w:val="clear" w:color="auto" w:fill="FFFFFF"/>
          <w:lang w:val="ru-RU"/>
        </w:rPr>
        <w:t xml:space="preserve"> </w:t>
      </w:r>
      <w:r w:rsidRPr="00ED0EDA">
        <w:rPr>
          <w:rStyle w:val="Emphasis"/>
          <w:iCs/>
          <w:sz w:val="20"/>
          <w:szCs w:val="20"/>
          <w:shd w:val="clear" w:color="auto" w:fill="FFFFFF"/>
        </w:rPr>
        <w:t>L</w:t>
      </w:r>
      <w:r w:rsidRPr="00ED0EDA">
        <w:rPr>
          <w:rStyle w:val="Emphasis"/>
          <w:iCs/>
          <w:sz w:val="20"/>
          <w:szCs w:val="20"/>
          <w:shd w:val="clear" w:color="auto" w:fill="FFFFFF"/>
          <w:lang w:val="ru-RU"/>
        </w:rPr>
        <w:t xml:space="preserve"> 168, 7.6.2014, </w:t>
      </w:r>
      <w:r w:rsidRPr="00ED0EDA">
        <w:rPr>
          <w:rStyle w:val="Emphasis"/>
          <w:iCs/>
          <w:sz w:val="20"/>
          <w:szCs w:val="20"/>
          <w:shd w:val="clear" w:color="auto" w:fill="FFFFFF"/>
        </w:rPr>
        <w:t>p</w:t>
      </w:r>
      <w:r w:rsidRPr="00ED0EDA">
        <w:rPr>
          <w:rStyle w:val="Emphasis"/>
          <w:iCs/>
          <w:sz w:val="20"/>
          <w:szCs w:val="20"/>
          <w:shd w:val="clear" w:color="auto" w:fill="FFFFFF"/>
          <w:lang w:val="ru-RU"/>
        </w:rPr>
        <w:t>. 105–111)</w:t>
      </w:r>
      <w:r w:rsidRPr="00ED0EDA">
        <w:rPr>
          <w:rStyle w:val="Emphasis"/>
          <w:iCs/>
          <w:sz w:val="20"/>
          <w:szCs w:val="20"/>
          <w:shd w:val="clear" w:color="auto" w:fill="FFFFFF"/>
          <w:lang w:val="bg-BG"/>
        </w:rPr>
        <w:t>.</w:t>
      </w:r>
      <w:r w:rsidRPr="00ED0EDA">
        <w:rPr>
          <w:sz w:val="20"/>
          <w:szCs w:val="20"/>
          <w:shd w:val="clear" w:color="auto" w:fill="FFFFFF"/>
          <w:lang w:val="ru-RU"/>
        </w:rPr>
        <w:t xml:space="preserve"> Регламент (ЕС, Евратом) № 608/2014 на Съвета от 26 май 2014 година за определяне на мерки за прилагане на системата на собствените ресурси на Европейския съюз</w:t>
      </w:r>
      <w:r>
        <w:rPr>
          <w:sz w:val="20"/>
          <w:szCs w:val="20"/>
          <w:shd w:val="clear" w:color="auto" w:fill="FFFFFF"/>
          <w:lang w:val="ru-RU"/>
        </w:rPr>
        <w:t xml:space="preserve"> </w:t>
      </w:r>
      <w:r w:rsidRPr="00ED0EDA">
        <w:rPr>
          <w:sz w:val="20"/>
          <w:szCs w:val="20"/>
          <w:shd w:val="clear" w:color="auto" w:fill="FFFFFF"/>
          <w:lang w:val="ru-RU"/>
        </w:rPr>
        <w:t>(</w:t>
      </w:r>
      <w:r w:rsidRPr="00ED0EDA">
        <w:rPr>
          <w:rStyle w:val="Emphasis"/>
          <w:iCs/>
          <w:sz w:val="20"/>
          <w:szCs w:val="20"/>
          <w:shd w:val="clear" w:color="auto" w:fill="FFFFFF"/>
        </w:rPr>
        <w:t>OJ</w:t>
      </w:r>
      <w:r w:rsidRPr="00ED0EDA">
        <w:rPr>
          <w:rStyle w:val="Emphasis"/>
          <w:iCs/>
          <w:sz w:val="20"/>
          <w:szCs w:val="20"/>
          <w:shd w:val="clear" w:color="auto" w:fill="FFFFFF"/>
          <w:lang w:val="ru-RU"/>
        </w:rPr>
        <w:t xml:space="preserve"> </w:t>
      </w:r>
      <w:r w:rsidRPr="00ED0EDA">
        <w:rPr>
          <w:rStyle w:val="Emphasis"/>
          <w:iCs/>
          <w:sz w:val="20"/>
          <w:szCs w:val="20"/>
          <w:shd w:val="clear" w:color="auto" w:fill="FFFFFF"/>
        </w:rPr>
        <w:t>L</w:t>
      </w:r>
      <w:r w:rsidRPr="00ED0EDA">
        <w:rPr>
          <w:rStyle w:val="Emphasis"/>
          <w:iCs/>
          <w:sz w:val="20"/>
          <w:szCs w:val="20"/>
          <w:shd w:val="clear" w:color="auto" w:fill="FFFFFF"/>
          <w:lang w:val="ru-RU"/>
        </w:rPr>
        <w:t xml:space="preserve"> 168, 7.6.2014, </w:t>
      </w:r>
      <w:r w:rsidRPr="00ED0EDA">
        <w:rPr>
          <w:rStyle w:val="Emphasis"/>
          <w:iCs/>
          <w:sz w:val="20"/>
          <w:szCs w:val="20"/>
          <w:shd w:val="clear" w:color="auto" w:fill="FFFFFF"/>
        </w:rPr>
        <w:t>p</w:t>
      </w:r>
      <w:r w:rsidRPr="00ED0EDA">
        <w:rPr>
          <w:rStyle w:val="Emphasis"/>
          <w:iCs/>
          <w:sz w:val="20"/>
          <w:szCs w:val="20"/>
          <w:shd w:val="clear" w:color="auto" w:fill="FFFFFF"/>
          <w:lang w:val="ru-RU"/>
        </w:rPr>
        <w:t>. 29–38)</w:t>
      </w:r>
      <w:r>
        <w:rPr>
          <w:rStyle w:val="Emphasis"/>
          <w:iCs/>
          <w:sz w:val="20"/>
          <w:szCs w:val="20"/>
          <w:shd w:val="clear" w:color="auto" w:fill="FFFFFF"/>
          <w:lang w:val="ru-RU"/>
        </w:rPr>
        <w:t>.</w:t>
      </w:r>
      <w:r w:rsidRPr="00ED0EDA">
        <w:rPr>
          <w:rStyle w:val="Emphasis"/>
          <w:iCs/>
          <w:sz w:val="20"/>
          <w:szCs w:val="20"/>
          <w:shd w:val="clear" w:color="auto" w:fill="FFFFFF"/>
          <w:lang w:val="ru-RU"/>
        </w:rPr>
        <w:t xml:space="preserve"> </w:t>
      </w:r>
      <w:r w:rsidRPr="00ED0EDA">
        <w:rPr>
          <w:color w:val="000000"/>
          <w:sz w:val="20"/>
          <w:szCs w:val="20"/>
          <w:lang w:val="ru-RU"/>
        </w:rPr>
        <w:t xml:space="preserve">Приходната част на Съюза идва предимно от: </w:t>
      </w:r>
      <w:r w:rsidRPr="00ED0EDA">
        <w:rPr>
          <w:b/>
          <w:bCs/>
          <w:color w:val="000000"/>
          <w:sz w:val="20"/>
          <w:szCs w:val="20"/>
          <w:lang w:val="ru-RU"/>
        </w:rPr>
        <w:t>традиционни собствени ресурси</w:t>
      </w:r>
      <w:r w:rsidRPr="00ED0EDA">
        <w:rPr>
          <w:color w:val="000000"/>
          <w:sz w:val="20"/>
          <w:szCs w:val="20"/>
          <w:lang w:val="ru-RU"/>
        </w:rPr>
        <w:t>: основно мита и налози върху захарта; собствени</w:t>
      </w:r>
      <w:r w:rsidRPr="00ED0EDA">
        <w:rPr>
          <w:color w:val="000000"/>
          <w:sz w:val="20"/>
          <w:szCs w:val="20"/>
        </w:rPr>
        <w:t> </w:t>
      </w:r>
      <w:r w:rsidRPr="00ED0EDA">
        <w:rPr>
          <w:b/>
          <w:bCs/>
          <w:color w:val="000000"/>
          <w:sz w:val="20"/>
          <w:szCs w:val="20"/>
          <w:lang w:val="ru-RU"/>
        </w:rPr>
        <w:t>ресурси на база данък върху добавената стойност</w:t>
      </w:r>
      <w:r w:rsidRPr="00ED0EDA">
        <w:rPr>
          <w:color w:val="000000"/>
          <w:sz w:val="20"/>
          <w:szCs w:val="20"/>
          <w:lang w:val="ru-RU"/>
        </w:rPr>
        <w:t xml:space="preserve">: прилага се единна ставка от 0,3% към хармонизираната база за ДДС на всяка държава членка; към облагаемата база за ДДС обаче се прилага таван от 50% от брутния национален доход (БНД) за всяка държава; </w:t>
      </w:r>
      <w:r w:rsidRPr="00ED0EDA">
        <w:rPr>
          <w:b/>
          <w:bCs/>
          <w:color w:val="000000"/>
          <w:sz w:val="20"/>
          <w:szCs w:val="20"/>
          <w:lang w:val="ru-RU"/>
        </w:rPr>
        <w:t>собствени ресурси</w:t>
      </w:r>
      <w:r w:rsidRPr="00ED0EDA">
        <w:rPr>
          <w:color w:val="000000"/>
          <w:sz w:val="20"/>
          <w:szCs w:val="20"/>
        </w:rPr>
        <w:t> </w:t>
      </w:r>
      <w:r w:rsidRPr="00ED0EDA">
        <w:rPr>
          <w:color w:val="000000"/>
          <w:sz w:val="20"/>
          <w:szCs w:val="20"/>
          <w:lang w:val="ru-RU"/>
        </w:rPr>
        <w:t>на база брутен национален доход (БНД): събира се стандартен процент от БНД на всяка държава членка за разходите, които не се покриват от други собствени ресурси.</w:t>
      </w:r>
      <w:r w:rsidRPr="00ED0EDA">
        <w:rPr>
          <w:sz w:val="20"/>
          <w:szCs w:val="20"/>
          <w:lang w:val="ru-RU"/>
        </w:rPr>
        <w:t xml:space="preserve"> Относно приходната част на бюджета на ЕС вж</w:t>
      </w:r>
      <w:r>
        <w:rPr>
          <w:sz w:val="20"/>
          <w:szCs w:val="20"/>
          <w:lang w:val="ru-RU"/>
        </w:rPr>
        <w:t>.</w:t>
      </w:r>
      <w:r w:rsidRPr="00ED0EDA">
        <w:rPr>
          <w:sz w:val="20"/>
          <w:szCs w:val="20"/>
          <w:lang w:val="ru-RU"/>
        </w:rPr>
        <w:t xml:space="preserve"> на: интернет страницата на ЕК </w:t>
      </w:r>
      <w:hyperlink r:id="rId3" w:history="1">
        <w:r w:rsidRPr="00ED0EDA">
          <w:rPr>
            <w:color w:val="0000FF"/>
            <w:sz w:val="20"/>
            <w:szCs w:val="20"/>
            <w:u w:val="single"/>
          </w:rPr>
          <w:t>https</w:t>
        </w:r>
        <w:r w:rsidRPr="00ED0EDA">
          <w:rPr>
            <w:color w:val="0000FF"/>
            <w:sz w:val="20"/>
            <w:szCs w:val="20"/>
            <w:u w:val="single"/>
            <w:lang w:val="ru-RU"/>
          </w:rPr>
          <w:t>://</w:t>
        </w:r>
        <w:r w:rsidRPr="00ED0EDA">
          <w:rPr>
            <w:color w:val="0000FF"/>
            <w:sz w:val="20"/>
            <w:szCs w:val="20"/>
            <w:u w:val="single"/>
          </w:rPr>
          <w:t>ec</w:t>
        </w:r>
        <w:r w:rsidRPr="00ED0EDA">
          <w:rPr>
            <w:color w:val="0000FF"/>
            <w:sz w:val="20"/>
            <w:szCs w:val="20"/>
            <w:u w:val="single"/>
            <w:lang w:val="ru-RU"/>
          </w:rPr>
          <w:t>.</w:t>
        </w:r>
        <w:r w:rsidRPr="00ED0EDA">
          <w:rPr>
            <w:color w:val="0000FF"/>
            <w:sz w:val="20"/>
            <w:szCs w:val="20"/>
            <w:u w:val="single"/>
          </w:rPr>
          <w:t>europa</w:t>
        </w:r>
        <w:r w:rsidRPr="00ED0EDA">
          <w:rPr>
            <w:color w:val="0000FF"/>
            <w:sz w:val="20"/>
            <w:szCs w:val="20"/>
            <w:u w:val="single"/>
            <w:lang w:val="ru-RU"/>
          </w:rPr>
          <w:t>.</w:t>
        </w:r>
        <w:r w:rsidRPr="00ED0EDA">
          <w:rPr>
            <w:color w:val="0000FF"/>
            <w:sz w:val="20"/>
            <w:szCs w:val="20"/>
            <w:u w:val="single"/>
          </w:rPr>
          <w:t>eu</w:t>
        </w:r>
        <w:r w:rsidRPr="00ED0EDA">
          <w:rPr>
            <w:color w:val="0000FF"/>
            <w:sz w:val="20"/>
            <w:szCs w:val="20"/>
            <w:u w:val="single"/>
            <w:lang w:val="ru-RU"/>
          </w:rPr>
          <w:t>/</w:t>
        </w:r>
        <w:r w:rsidRPr="00ED0EDA">
          <w:rPr>
            <w:color w:val="0000FF"/>
            <w:sz w:val="20"/>
            <w:szCs w:val="20"/>
            <w:u w:val="single"/>
          </w:rPr>
          <w:t>info</w:t>
        </w:r>
        <w:r w:rsidRPr="00ED0EDA">
          <w:rPr>
            <w:color w:val="0000FF"/>
            <w:sz w:val="20"/>
            <w:szCs w:val="20"/>
            <w:u w:val="single"/>
            <w:lang w:val="ru-RU"/>
          </w:rPr>
          <w:t>/</w:t>
        </w:r>
        <w:r w:rsidRPr="00ED0EDA">
          <w:rPr>
            <w:color w:val="0000FF"/>
            <w:sz w:val="20"/>
            <w:szCs w:val="20"/>
            <w:u w:val="single"/>
          </w:rPr>
          <w:t>strategy</w:t>
        </w:r>
        <w:r w:rsidRPr="00ED0EDA">
          <w:rPr>
            <w:color w:val="0000FF"/>
            <w:sz w:val="20"/>
            <w:szCs w:val="20"/>
            <w:u w:val="single"/>
            <w:lang w:val="ru-RU"/>
          </w:rPr>
          <w:t>/</w:t>
        </w:r>
        <w:r w:rsidRPr="00ED0EDA">
          <w:rPr>
            <w:color w:val="0000FF"/>
            <w:sz w:val="20"/>
            <w:szCs w:val="20"/>
            <w:u w:val="single"/>
          </w:rPr>
          <w:t>eu</w:t>
        </w:r>
        <w:r w:rsidRPr="00ED0EDA">
          <w:rPr>
            <w:color w:val="0000FF"/>
            <w:sz w:val="20"/>
            <w:szCs w:val="20"/>
            <w:u w:val="single"/>
            <w:lang w:val="ru-RU"/>
          </w:rPr>
          <w:t>-</w:t>
        </w:r>
        <w:r w:rsidRPr="00ED0EDA">
          <w:rPr>
            <w:color w:val="0000FF"/>
            <w:sz w:val="20"/>
            <w:szCs w:val="20"/>
            <w:u w:val="single"/>
          </w:rPr>
          <w:t>budget</w:t>
        </w:r>
        <w:r w:rsidRPr="00ED0EDA">
          <w:rPr>
            <w:color w:val="0000FF"/>
            <w:sz w:val="20"/>
            <w:szCs w:val="20"/>
            <w:u w:val="single"/>
            <w:lang w:val="ru-RU"/>
          </w:rPr>
          <w:t>_</w:t>
        </w:r>
        <w:r w:rsidRPr="00ED0EDA">
          <w:rPr>
            <w:color w:val="0000FF"/>
            <w:sz w:val="20"/>
            <w:szCs w:val="20"/>
            <w:u w:val="single"/>
          </w:rPr>
          <w:t>en</w:t>
        </w:r>
      </w:hyperlink>
      <w:r>
        <w:rPr>
          <w:sz w:val="20"/>
          <w:szCs w:val="20"/>
          <w:lang w:val="ru-RU"/>
        </w:rPr>
        <w:t xml:space="preserve">, </w:t>
      </w:r>
      <w:r w:rsidRPr="00ED0EDA">
        <w:rPr>
          <w:sz w:val="20"/>
          <w:szCs w:val="20"/>
          <w:lang w:val="ru-RU"/>
        </w:rPr>
        <w:t>посетена на [4 ноември 2019]</w:t>
      </w:r>
    </w:p>
  </w:footnote>
  <w:footnote w:id="25">
    <w:p w:rsidR="005572BD" w:rsidRDefault="005572BD" w:rsidP="007807CD">
      <w:pPr>
        <w:pStyle w:val="ti-art"/>
        <w:shd w:val="clear" w:color="auto" w:fill="FFFFFF"/>
        <w:spacing w:before="0" w:beforeAutospacing="0" w:after="0" w:afterAutospacing="0"/>
        <w:ind w:firstLine="360"/>
        <w:jc w:val="both"/>
      </w:pPr>
      <w:r w:rsidRPr="00ED0EDA">
        <w:rPr>
          <w:rStyle w:val="FootnoteReference"/>
          <w:sz w:val="20"/>
          <w:szCs w:val="20"/>
        </w:rPr>
        <w:footnoteRef/>
      </w:r>
      <w:r w:rsidRPr="00ED0EDA">
        <w:rPr>
          <w:sz w:val="20"/>
          <w:szCs w:val="20"/>
          <w:lang w:val="ru-RU"/>
        </w:rPr>
        <w:t xml:space="preserve"> </w:t>
      </w:r>
      <w:r w:rsidRPr="00ED0EDA">
        <w:rPr>
          <w:i/>
          <w:iCs/>
          <w:color w:val="000000"/>
          <w:sz w:val="20"/>
          <w:szCs w:val="20"/>
          <w:lang w:val="bg-BG"/>
        </w:rPr>
        <w:t>„</w:t>
      </w:r>
      <w:r w:rsidRPr="00ED0EDA">
        <w:rPr>
          <w:i/>
          <w:iCs/>
          <w:color w:val="000000"/>
          <w:sz w:val="20"/>
          <w:szCs w:val="20"/>
          <w:lang w:val="ru-RU"/>
        </w:rPr>
        <w:t>Член 3</w:t>
      </w:r>
      <w:r w:rsidRPr="00ED0EDA">
        <w:rPr>
          <w:i/>
          <w:iCs/>
          <w:color w:val="000000"/>
          <w:sz w:val="20"/>
          <w:szCs w:val="20"/>
          <w:lang w:val="bg-BG"/>
        </w:rPr>
        <w:t xml:space="preserve"> </w:t>
      </w:r>
      <w:r w:rsidRPr="00ED0EDA">
        <w:rPr>
          <w:b/>
          <w:bCs/>
          <w:color w:val="000000"/>
          <w:sz w:val="20"/>
          <w:szCs w:val="20"/>
          <w:lang w:val="ru-RU"/>
        </w:rPr>
        <w:t>Съответствие на вторичното законодателство с настоящия регламент</w:t>
      </w:r>
      <w:r w:rsidRPr="00ED0EDA">
        <w:rPr>
          <w:b/>
          <w:bCs/>
          <w:color w:val="000000"/>
          <w:sz w:val="20"/>
          <w:szCs w:val="20"/>
          <w:lang w:val="bg-BG"/>
        </w:rPr>
        <w:t xml:space="preserve"> </w:t>
      </w:r>
      <w:r w:rsidRPr="00096B16">
        <w:rPr>
          <w:bCs/>
          <w:color w:val="000000"/>
          <w:sz w:val="20"/>
          <w:szCs w:val="20"/>
          <w:lang w:val="bg-BG"/>
        </w:rPr>
        <w:t>„</w:t>
      </w:r>
      <w:r w:rsidRPr="00ED0EDA">
        <w:rPr>
          <w:color w:val="000000"/>
          <w:sz w:val="20"/>
          <w:szCs w:val="20"/>
          <w:lang w:val="ru-RU"/>
        </w:rPr>
        <w:t>1.</w:t>
      </w:r>
      <w:r>
        <w:rPr>
          <w:color w:val="000000"/>
          <w:sz w:val="20"/>
          <w:szCs w:val="20"/>
          <w:lang w:val="ru-RU"/>
        </w:rPr>
        <w:t xml:space="preserve"> </w:t>
      </w:r>
      <w:r w:rsidRPr="00ED0EDA">
        <w:rPr>
          <w:color w:val="000000"/>
          <w:sz w:val="20"/>
          <w:szCs w:val="20"/>
          <w:lang w:val="ru-RU"/>
        </w:rPr>
        <w:t xml:space="preserve">Разпоредбите, които се отнасят до изпълнението на приходите и разходите на бюджета и които се съдържат в основен акт, трябва да са съобразени с бюджетните принципи, посочени в дял </w:t>
      </w:r>
      <w:r w:rsidRPr="00ED0EDA">
        <w:rPr>
          <w:color w:val="000000"/>
          <w:sz w:val="20"/>
          <w:szCs w:val="20"/>
        </w:rPr>
        <w:t>II</w:t>
      </w:r>
      <w:r w:rsidRPr="00ED0EDA">
        <w:rPr>
          <w:color w:val="000000"/>
          <w:sz w:val="20"/>
          <w:szCs w:val="20"/>
          <w:lang w:val="ru-RU"/>
        </w:rPr>
        <w:t>.</w:t>
      </w:r>
      <w:r w:rsidRPr="00ED0EDA">
        <w:rPr>
          <w:color w:val="000000"/>
          <w:sz w:val="20"/>
          <w:szCs w:val="20"/>
          <w:lang w:val="bg-BG"/>
        </w:rPr>
        <w:t>“</w:t>
      </w:r>
    </w:p>
  </w:footnote>
  <w:footnote w:id="26">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w:t>
      </w:r>
      <w:r w:rsidRPr="00ED0EDA">
        <w:rPr>
          <w:rStyle w:val="Emphasis"/>
          <w:rFonts w:ascii="Times New Roman" w:hAnsi="Times New Roman"/>
          <w:iCs/>
          <w:color w:val="444444"/>
          <w:shd w:val="clear" w:color="auto" w:fill="FFFFFF"/>
        </w:rPr>
        <w:t>OJ L 193, 30.7.2018, p. 1–222</w:t>
      </w:r>
    </w:p>
  </w:footnote>
  <w:footnote w:id="27">
    <w:p w:rsidR="005572BD" w:rsidRDefault="005572BD" w:rsidP="007807CD">
      <w:pPr>
        <w:spacing w:after="0" w:line="240" w:lineRule="auto"/>
        <w:ind w:firstLine="360"/>
        <w:jc w:val="both"/>
      </w:pPr>
      <w:r w:rsidRPr="00ED0EDA">
        <w:rPr>
          <w:rStyle w:val="FootnoteReference"/>
          <w:rFonts w:ascii="Times New Roman" w:hAnsi="Times New Roman"/>
          <w:sz w:val="20"/>
          <w:szCs w:val="20"/>
        </w:rPr>
        <w:footnoteRef/>
      </w:r>
      <w:r w:rsidRPr="00ED0EDA">
        <w:rPr>
          <w:rFonts w:ascii="Times New Roman" w:hAnsi="Times New Roman"/>
          <w:sz w:val="20"/>
          <w:szCs w:val="20"/>
        </w:rPr>
        <w:t xml:space="preserve"> </w:t>
      </w:r>
      <w:r w:rsidRPr="00ED0EDA">
        <w:rPr>
          <w:rFonts w:ascii="Times New Roman" w:hAnsi="Times New Roman"/>
          <w:b/>
          <w:bCs/>
          <w:color w:val="000000"/>
          <w:kern w:val="36"/>
          <w:sz w:val="20"/>
          <w:szCs w:val="20"/>
          <w:lang w:val="en-US"/>
        </w:rPr>
        <w:t>Applying the Charter of Fundamental Rights of the European Union in law and policymaking at national level - Guidance</w:t>
      </w:r>
      <w:hyperlink r:id="rId4" w:history="1">
        <w:r w:rsidRPr="00ED0EDA">
          <w:rPr>
            <w:rFonts w:ascii="Times New Roman" w:hAnsi="Times New Roman"/>
            <w:color w:val="0000FF"/>
            <w:sz w:val="20"/>
            <w:szCs w:val="20"/>
            <w:u w:val="single"/>
          </w:rPr>
          <w:t>https://fra.europa.eu/sites/default/files/fra_uploads/fra-2018-charter-guidance_en.pdf</w:t>
        </w:r>
      </w:hyperlink>
      <w:r>
        <w:rPr>
          <w:rFonts w:ascii="Times New Roman" w:hAnsi="Times New Roman"/>
          <w:sz w:val="20"/>
          <w:szCs w:val="20"/>
        </w:rPr>
        <w:t>.</w:t>
      </w:r>
    </w:p>
  </w:footnote>
  <w:footnote w:id="28">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За повече информация за Договора от Лисабон: </w:t>
      </w:r>
      <w:hyperlink r:id="rId5" w:history="1">
        <w:r w:rsidRPr="00ED0EDA">
          <w:rPr>
            <w:rStyle w:val="Hyperlink"/>
            <w:rFonts w:ascii="Times New Roman" w:hAnsi="Times New Roman"/>
          </w:rPr>
          <w:t>https://eur-lex.europa.eu/legal-content/BG/TXT/HTML/?uri=CELEX:12007L/TXT&amp;from=EN</w:t>
        </w:r>
      </w:hyperlink>
      <w:r>
        <w:rPr>
          <w:rFonts w:ascii="Times New Roman" w:hAnsi="Times New Roman"/>
        </w:rPr>
        <w:t xml:space="preserve"> </w:t>
      </w:r>
    </w:p>
  </w:footnote>
  <w:footnote w:id="29">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Виж повече информация за групата на: </w:t>
      </w:r>
      <w:hyperlink r:id="rId6" w:history="1">
        <w:r w:rsidRPr="00ED0EDA">
          <w:rPr>
            <w:rStyle w:val="Hyperlink"/>
            <w:rFonts w:ascii="Times New Roman" w:hAnsi="Times New Roman"/>
          </w:rPr>
          <w:t>https://actl.uva.nl/greit/about-greit/about-greit.html</w:t>
        </w:r>
      </w:hyperlink>
      <w:r w:rsidRPr="00ED0EDA">
        <w:rPr>
          <w:rFonts w:ascii="Times New Roman" w:hAnsi="Times New Roman"/>
        </w:rPr>
        <w:t xml:space="preserve"> </w:t>
      </w:r>
    </w:p>
  </w:footnote>
  <w:footnote w:id="30">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Вж., </w:t>
      </w:r>
      <w:r w:rsidRPr="00ED0EDA">
        <w:rPr>
          <w:rFonts w:ascii="Times New Roman" w:hAnsi="Times New Roman"/>
          <w:b/>
        </w:rPr>
        <w:t>Maduro, М.</w:t>
      </w:r>
      <w:r w:rsidRPr="00ED0EDA">
        <w:rPr>
          <w:rFonts w:ascii="Times New Roman" w:hAnsi="Times New Roman"/>
          <w:b/>
          <w:lang w:val="fr-FR"/>
        </w:rPr>
        <w:t>P.</w:t>
      </w:r>
      <w:r w:rsidRPr="00ED0EDA">
        <w:rPr>
          <w:rFonts w:ascii="Times New Roman" w:hAnsi="Times New Roman"/>
          <w:b/>
        </w:rPr>
        <w:t>, Pistone</w:t>
      </w:r>
      <w:r w:rsidRPr="00ED0EDA">
        <w:rPr>
          <w:rFonts w:ascii="Times New Roman" w:hAnsi="Times New Roman"/>
          <w:b/>
          <w:lang w:val="fr-FR"/>
        </w:rPr>
        <w:t>, P.</w:t>
      </w:r>
      <w:r w:rsidRPr="00ED0EDA">
        <w:rPr>
          <w:rFonts w:ascii="Times New Roman" w:hAnsi="Times New Roman"/>
        </w:rPr>
        <w:t xml:space="preserve"> </w:t>
      </w:r>
      <w:r w:rsidRPr="00ED0EDA">
        <w:rPr>
          <w:rFonts w:ascii="Times New Roman" w:hAnsi="Times New Roman"/>
          <w:b/>
        </w:rPr>
        <w:t>et al</w:t>
      </w:r>
      <w:r w:rsidRPr="00ED0EDA">
        <w:rPr>
          <w:rFonts w:ascii="Times New Roman" w:hAnsi="Times New Roman"/>
          <w:b/>
          <w:lang w:val="fr-FR"/>
        </w:rPr>
        <w:t>.</w:t>
      </w:r>
      <w:r w:rsidRPr="00ED0EDA">
        <w:rPr>
          <w:rFonts w:ascii="Times New Roman" w:hAnsi="Times New Roman"/>
        </w:rPr>
        <w:t xml:space="preserve"> </w:t>
      </w:r>
      <w:r w:rsidRPr="00ED0EDA">
        <w:rPr>
          <w:rFonts w:ascii="Times New Roman" w:hAnsi="Times New Roman"/>
          <w:lang w:val="en-US"/>
        </w:rPr>
        <w:t>Human Rights and Taxation in Europe and the World, IBFD, 2011</w:t>
      </w:r>
    </w:p>
  </w:footnote>
  <w:footnote w:id="31">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Вж., </w:t>
      </w:r>
      <w:r w:rsidRPr="00ED0EDA">
        <w:rPr>
          <w:rFonts w:ascii="Times New Roman" w:hAnsi="Times New Roman"/>
          <w:b/>
        </w:rPr>
        <w:t>Maduro, М.P., Pistone, P. et al.</w:t>
      </w:r>
      <w:r w:rsidRPr="00ED0EDA">
        <w:rPr>
          <w:rFonts w:ascii="Times New Roman" w:hAnsi="Times New Roman"/>
        </w:rPr>
        <w:t xml:space="preserve"> Human Rights and Taxation in Europe and the World, IBFD, 2011, Част първа, Глава Първа, Въведение. </w:t>
      </w:r>
    </w:p>
  </w:footnote>
  <w:footnote w:id="32">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Михайлова-Големинова, С. „Предизвикателства пред държавите членки и кандидатките за членство в Европейския съюз в областта на данъчното облагане и финансовото право“, Сиела, 2019</w:t>
      </w:r>
      <w:r>
        <w:rPr>
          <w:rFonts w:ascii="Times New Roman" w:hAnsi="Times New Roman"/>
        </w:rPr>
        <w:t xml:space="preserve"> </w:t>
      </w:r>
      <w:r w:rsidRPr="00ED0EDA">
        <w:rPr>
          <w:rFonts w:ascii="Times New Roman" w:hAnsi="Times New Roman"/>
        </w:rPr>
        <w:t>г., стр. 90</w:t>
      </w:r>
    </w:p>
  </w:footnote>
  <w:footnote w:id="33">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Пак там - Решения </w:t>
      </w:r>
      <w:r w:rsidRPr="00ED0EDA">
        <w:rPr>
          <w:rFonts w:ascii="Times New Roman" w:hAnsi="Times New Roman"/>
          <w:lang w:val="fr-FR"/>
        </w:rPr>
        <w:t>Kamberaj</w:t>
      </w:r>
      <w:r w:rsidRPr="00ED0EDA">
        <w:rPr>
          <w:rFonts w:ascii="Times New Roman" w:hAnsi="Times New Roman"/>
        </w:rPr>
        <w:t xml:space="preserve">, </w:t>
      </w:r>
      <w:r w:rsidRPr="00ED0EDA">
        <w:rPr>
          <w:rFonts w:ascii="Times New Roman" w:hAnsi="Times New Roman"/>
          <w:lang w:val="fr-FR"/>
        </w:rPr>
        <w:t>C</w:t>
      </w:r>
      <w:r w:rsidRPr="00ED0EDA">
        <w:rPr>
          <w:rFonts w:ascii="Times New Roman" w:hAnsi="Times New Roman"/>
        </w:rPr>
        <w:t xml:space="preserve">-571/10, </w:t>
      </w:r>
      <w:r w:rsidRPr="00ED0EDA">
        <w:rPr>
          <w:rFonts w:ascii="Times New Roman" w:hAnsi="Times New Roman"/>
          <w:lang w:val="fr-FR"/>
        </w:rPr>
        <w:t>EU</w:t>
      </w:r>
      <w:r w:rsidRPr="00ED0EDA">
        <w:rPr>
          <w:rFonts w:ascii="Times New Roman" w:hAnsi="Times New Roman"/>
        </w:rPr>
        <w:t>:</w:t>
      </w:r>
      <w:r w:rsidRPr="00ED0EDA">
        <w:rPr>
          <w:rFonts w:ascii="Times New Roman" w:hAnsi="Times New Roman"/>
          <w:lang w:val="fr-FR"/>
        </w:rPr>
        <w:t>C</w:t>
      </w:r>
      <w:r w:rsidRPr="00ED0EDA">
        <w:rPr>
          <w:rFonts w:ascii="Times New Roman" w:hAnsi="Times New Roman"/>
        </w:rPr>
        <w:t xml:space="preserve">:2012:233, т. 60 и </w:t>
      </w:r>
      <w:r w:rsidRPr="00ED0EDA">
        <w:rPr>
          <w:rFonts w:ascii="Times New Roman" w:hAnsi="Times New Roman"/>
          <w:lang w:val="fr-FR"/>
        </w:rPr>
        <w:t>Akberg</w:t>
      </w:r>
      <w:r w:rsidRPr="00ED0EDA">
        <w:rPr>
          <w:rFonts w:ascii="Times New Roman" w:hAnsi="Times New Roman"/>
        </w:rPr>
        <w:t xml:space="preserve"> </w:t>
      </w:r>
      <w:r w:rsidRPr="00ED0EDA">
        <w:rPr>
          <w:rFonts w:ascii="Times New Roman" w:hAnsi="Times New Roman"/>
          <w:lang w:val="fr-FR"/>
        </w:rPr>
        <w:t>Fransson</w:t>
      </w:r>
      <w:r w:rsidRPr="00ED0EDA">
        <w:rPr>
          <w:rFonts w:ascii="Times New Roman" w:hAnsi="Times New Roman"/>
        </w:rPr>
        <w:t xml:space="preserve">, </w:t>
      </w:r>
      <w:r w:rsidRPr="00ED0EDA">
        <w:rPr>
          <w:rFonts w:ascii="Times New Roman" w:hAnsi="Times New Roman"/>
          <w:lang w:val="fr-FR"/>
        </w:rPr>
        <w:t>EU</w:t>
      </w:r>
      <w:r w:rsidRPr="00ED0EDA">
        <w:rPr>
          <w:rFonts w:ascii="Times New Roman" w:hAnsi="Times New Roman"/>
        </w:rPr>
        <w:t>:</w:t>
      </w:r>
      <w:r w:rsidRPr="00ED0EDA">
        <w:rPr>
          <w:rFonts w:ascii="Times New Roman" w:hAnsi="Times New Roman"/>
          <w:lang w:val="fr-FR"/>
        </w:rPr>
        <w:t>C</w:t>
      </w:r>
      <w:r w:rsidRPr="00ED0EDA">
        <w:rPr>
          <w:rFonts w:ascii="Times New Roman" w:hAnsi="Times New Roman"/>
        </w:rPr>
        <w:t>:2013:105, т. 44) .</w:t>
      </w:r>
    </w:p>
  </w:footnote>
  <w:footnote w:id="34">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Виж интернет страницата на ОИСР : </w:t>
      </w:r>
      <w:hyperlink r:id="rId7" w:history="1">
        <w:r w:rsidRPr="00ED0EDA">
          <w:rPr>
            <w:rStyle w:val="Hyperlink"/>
            <w:rFonts w:ascii="Times New Roman" w:hAnsi="Times New Roman"/>
          </w:rPr>
          <w:t>https://www.oecd.org/tax/administration/Taxpayers%27_Rights_and_Obligations-Practice_Note.pdf</w:t>
        </w:r>
      </w:hyperlink>
      <w:r w:rsidRPr="00ED0EDA">
        <w:rPr>
          <w:rFonts w:ascii="Times New Roman" w:hAnsi="Times New Roman"/>
        </w:rPr>
        <w:t xml:space="preserve"> </w:t>
      </w:r>
    </w:p>
  </w:footnote>
  <w:footnote w:id="35">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Вж.</w:t>
      </w:r>
      <w:r w:rsidRPr="00ED0EDA">
        <w:rPr>
          <w:rFonts w:ascii="Times New Roman" w:hAnsi="Times New Roman"/>
          <w:lang w:val="fr-FR"/>
        </w:rPr>
        <w:t xml:space="preserve"> </w:t>
      </w:r>
      <w:r w:rsidRPr="00ED0EDA">
        <w:rPr>
          <w:rFonts w:ascii="Times New Roman" w:hAnsi="Times New Roman"/>
          <w:b/>
          <w:lang w:val="fr-FR"/>
        </w:rPr>
        <w:t xml:space="preserve">Maduro, </w:t>
      </w:r>
      <w:r w:rsidRPr="00ED0EDA">
        <w:rPr>
          <w:rFonts w:ascii="Times New Roman" w:hAnsi="Times New Roman"/>
          <w:b/>
          <w:lang w:val="en-US"/>
        </w:rPr>
        <w:t>М</w:t>
      </w:r>
      <w:r w:rsidRPr="00ED0EDA">
        <w:rPr>
          <w:rFonts w:ascii="Times New Roman" w:hAnsi="Times New Roman"/>
          <w:b/>
          <w:lang w:val="fr-FR"/>
        </w:rPr>
        <w:t>.P., Pistone, P. et al</w:t>
      </w:r>
      <w:r w:rsidRPr="00ED0EDA">
        <w:rPr>
          <w:rFonts w:ascii="Times New Roman" w:hAnsi="Times New Roman"/>
          <w:lang w:val="fr-FR"/>
        </w:rPr>
        <w:t xml:space="preserve">. </w:t>
      </w:r>
      <w:r w:rsidRPr="00ED0EDA">
        <w:rPr>
          <w:rFonts w:ascii="Times New Roman" w:hAnsi="Times New Roman"/>
          <w:lang w:val="en-US"/>
        </w:rPr>
        <w:t xml:space="preserve">Human Rights and Taxation in Europe and the World, IBFD, 2011, </w:t>
      </w:r>
      <w:r w:rsidRPr="00ED0EDA">
        <w:rPr>
          <w:rFonts w:ascii="Times New Roman" w:hAnsi="Times New Roman"/>
        </w:rPr>
        <w:t>Глава 7 „Chapter 7: The Role of the EU in International Tax Policy and Human Rights</w:t>
      </w:r>
      <w:r>
        <w:rPr>
          <w:rFonts w:ascii="Times New Roman" w:hAnsi="Times New Roman"/>
        </w:rPr>
        <w:t>.</w:t>
      </w:r>
      <w:r w:rsidRPr="00ED0EDA">
        <w:rPr>
          <w:rFonts w:ascii="Times New Roman" w:hAnsi="Times New Roman"/>
        </w:rPr>
        <w:t xml:space="preserve"> Does the EU need a policy on taxation and human rights?“, </w:t>
      </w:r>
      <w:r w:rsidRPr="00ED0EDA">
        <w:rPr>
          <w:rFonts w:ascii="Times New Roman" w:hAnsi="Times New Roman"/>
          <w:lang w:val="en-US"/>
        </w:rPr>
        <w:t>Cecile</w:t>
      </w:r>
      <w:r w:rsidRPr="00ED0EDA">
        <w:rPr>
          <w:rFonts w:ascii="Times New Roman" w:hAnsi="Times New Roman"/>
        </w:rPr>
        <w:t xml:space="preserve"> </w:t>
      </w:r>
      <w:r w:rsidRPr="00ED0EDA">
        <w:rPr>
          <w:rFonts w:ascii="Times New Roman" w:hAnsi="Times New Roman"/>
          <w:lang w:val="en-US"/>
        </w:rPr>
        <w:t>Brokelind</w:t>
      </w:r>
      <w:r w:rsidRPr="00ED0EDA">
        <w:rPr>
          <w:rFonts w:ascii="Times New Roman" w:hAnsi="Times New Roman"/>
        </w:rPr>
        <w:t>.</w:t>
      </w:r>
      <w:r>
        <w:rPr>
          <w:rFonts w:ascii="Times New Roman" w:hAnsi="Times New Roman"/>
        </w:rPr>
        <w:t xml:space="preserve"> </w:t>
      </w:r>
    </w:p>
  </w:footnote>
  <w:footnote w:id="36">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Вж. решение C‑543/14 Ordre des barreaux francophones et germanophone и др., ECLI:EU:C:2016:605 </w:t>
      </w:r>
    </w:p>
  </w:footnote>
  <w:footnote w:id="37">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ОВ</w:t>
      </w:r>
      <w:r>
        <w:rPr>
          <w:rFonts w:ascii="Times New Roman" w:hAnsi="Times New Roman"/>
        </w:rPr>
        <w:t xml:space="preserve"> </w:t>
      </w:r>
      <w:r w:rsidRPr="00ED0EDA">
        <w:rPr>
          <w:rFonts w:ascii="Times New Roman" w:hAnsi="Times New Roman"/>
          <w:lang w:val="en-US"/>
        </w:rPr>
        <w:t>L</w:t>
      </w:r>
      <w:r w:rsidRPr="00ED0EDA">
        <w:rPr>
          <w:rFonts w:ascii="Times New Roman" w:hAnsi="Times New Roman"/>
          <w:lang w:val="ru-RU"/>
        </w:rPr>
        <w:t xml:space="preserve"> 347/1, </w:t>
      </w:r>
      <w:r w:rsidRPr="00ED0EDA">
        <w:rPr>
          <w:rFonts w:ascii="Times New Roman" w:hAnsi="Times New Roman"/>
        </w:rPr>
        <w:t>, 11.12.2006г., стр. 1—118</w:t>
      </w:r>
      <w:r>
        <w:rPr>
          <w:rFonts w:ascii="Times New Roman" w:hAnsi="Times New Roman"/>
        </w:rPr>
        <w:t xml:space="preserve"> </w:t>
      </w:r>
    </w:p>
  </w:footnote>
  <w:footnote w:id="38">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Виж интернет страницата, посветена на Орхуската конвенция: </w:t>
      </w:r>
      <w:hyperlink r:id="rId8" w:history="1">
        <w:r w:rsidRPr="00ED0EDA">
          <w:rPr>
            <w:rStyle w:val="Hyperlink"/>
            <w:rFonts w:ascii="Times New Roman" w:hAnsi="Times New Roman"/>
          </w:rPr>
          <w:t>http://www.unece.org/env/pp/contentofaarhus.html</w:t>
        </w:r>
      </w:hyperlink>
      <w:r w:rsidRPr="00ED0EDA">
        <w:rPr>
          <w:rFonts w:ascii="Times New Roman" w:hAnsi="Times New Roman"/>
        </w:rPr>
        <w:t xml:space="preserve"> .</w:t>
      </w:r>
    </w:p>
  </w:footnote>
  <w:footnote w:id="39">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Решение на ЕСПЧ от 22.01.2009 г. (жалба № 3991/03)</w:t>
      </w:r>
    </w:p>
  </w:footnote>
  <w:footnote w:id="40">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Решение на ЕСПЧ от 18 март 2010 г.</w:t>
      </w:r>
      <w:r>
        <w:rPr>
          <w:rFonts w:ascii="Times New Roman" w:hAnsi="Times New Roman"/>
        </w:rPr>
        <w:t xml:space="preserve"> </w:t>
      </w:r>
      <w:r w:rsidRPr="00ED0EDA">
        <w:rPr>
          <w:rFonts w:ascii="Times New Roman" w:hAnsi="Times New Roman"/>
        </w:rPr>
        <w:t>(жалба № 6689/03)</w:t>
      </w:r>
      <w:r>
        <w:rPr>
          <w:rFonts w:ascii="Times New Roman" w:hAnsi="Times New Roman"/>
        </w:rPr>
        <w:t>.</w:t>
      </w:r>
    </w:p>
  </w:footnote>
  <w:footnote w:id="41">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Адв. Екимджиев, М. „Кой ще пази правата ни от Европейския съд по правата на човека?“, сп. „Правен свят“, 04.02.2014</w:t>
      </w:r>
      <w:r>
        <w:rPr>
          <w:rFonts w:ascii="Times New Roman" w:hAnsi="Times New Roman"/>
        </w:rPr>
        <w:t xml:space="preserve"> </w:t>
      </w:r>
      <w:r w:rsidRPr="00ED0EDA">
        <w:rPr>
          <w:rFonts w:ascii="Times New Roman" w:hAnsi="Times New Roman"/>
        </w:rPr>
        <w:t xml:space="preserve">г. на страница: </w:t>
      </w:r>
      <w:hyperlink r:id="rId9" w:history="1">
        <w:r w:rsidRPr="00ED0EDA">
          <w:rPr>
            <w:rStyle w:val="Hyperlink"/>
            <w:rFonts w:ascii="Times New Roman" w:hAnsi="Times New Roman"/>
          </w:rPr>
          <w:t>http://legalworld.bg/34276.koj-shte-pazi-pravata-ni-ot-evropejskiia-syd-po-pravata-na-choveka.html</w:t>
        </w:r>
      </w:hyperlink>
      <w:r>
        <w:rPr>
          <w:rFonts w:ascii="Times New Roman" w:hAnsi="Times New Roman"/>
        </w:rPr>
        <w:t>.</w:t>
      </w:r>
    </w:p>
  </w:footnote>
  <w:footnote w:id="42">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Виж страницата на ОИСР: </w:t>
      </w:r>
      <w:hyperlink r:id="rId10" w:history="1">
        <w:r w:rsidRPr="00ED0EDA">
          <w:rPr>
            <w:rStyle w:val="Hyperlink"/>
            <w:rFonts w:ascii="Times New Roman" w:hAnsi="Times New Roman"/>
          </w:rPr>
          <w:t>http://www.oecd.org/dataoecd/24/52/17851176.pdf</w:t>
        </w:r>
      </w:hyperlink>
      <w:r w:rsidRPr="00ED0EDA">
        <w:rPr>
          <w:rFonts w:ascii="Times New Roman" w:hAnsi="Times New Roman"/>
        </w:rPr>
        <w:t xml:space="preserve">. </w:t>
      </w:r>
    </w:p>
  </w:footnote>
  <w:footnote w:id="43">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Европейски парламент, Политически отдел за икономическа и научна политика, „The impact of the Rulings of the European Court of Justice in the Area of Direct Taxation”, Prof. Malherbe, J., March 2008, IP/A/ECON/ST/2008-27, PE 404.888.</w:t>
      </w:r>
    </w:p>
  </w:footnote>
  <w:footnote w:id="44">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Виж повече информация на интернет страницата на ЕК:</w:t>
      </w:r>
      <w:r>
        <w:rPr>
          <w:rFonts w:ascii="Times New Roman" w:hAnsi="Times New Roman"/>
        </w:rPr>
        <w:t xml:space="preserve"> </w:t>
      </w:r>
      <w:hyperlink r:id="rId11" w:history="1">
        <w:r w:rsidRPr="00ED0EDA">
          <w:rPr>
            <w:rStyle w:val="Hyperlink"/>
            <w:rFonts w:ascii="Times New Roman" w:hAnsi="Times New Roman"/>
          </w:rPr>
          <w:t>http://ec.europa.eu/taxation_customs/common/publications/info_docs/taxation/index_en.htm</w:t>
        </w:r>
      </w:hyperlink>
      <w:r>
        <w:rPr>
          <w:rFonts w:ascii="Times New Roman" w:hAnsi="Times New Roman"/>
        </w:rPr>
        <w:t xml:space="preserve"> </w:t>
      </w:r>
    </w:p>
  </w:footnote>
  <w:footnote w:id="45">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w:t>
      </w:r>
      <w:r w:rsidRPr="00ED0EDA">
        <w:rPr>
          <w:rFonts w:ascii="Times New Roman" w:eastAsia="SimSun" w:hAnsi="Times New Roman"/>
          <w:spacing w:val="-6"/>
          <w:kern w:val="2"/>
          <w:lang w:eastAsia="hi-IN" w:bidi="hi-IN"/>
        </w:rPr>
        <w:t>Михайлова-Големинова, С. Предизвикателства пред държавите членки и кандидатките за членство в Европейския съюз в областта на данъчното облагане и финансовото право. С.:, Сиела, 2019 с предговор от проф. .Жак Малерб (научен редактор) ,</w:t>
      </w:r>
      <w:r>
        <w:rPr>
          <w:rFonts w:ascii="Times New Roman" w:eastAsia="SimSun" w:hAnsi="Times New Roman"/>
          <w:spacing w:val="-6"/>
          <w:kern w:val="2"/>
          <w:lang w:eastAsia="hi-IN" w:bidi="hi-IN"/>
        </w:rPr>
        <w:t xml:space="preserve"> </w:t>
      </w:r>
      <w:r w:rsidRPr="00ED0EDA">
        <w:rPr>
          <w:rFonts w:ascii="Times New Roman" w:eastAsia="SimSun" w:hAnsi="Times New Roman"/>
          <w:spacing w:val="-6"/>
          <w:kern w:val="2"/>
          <w:lang w:eastAsia="hi-IN" w:bidi="hi-IN"/>
        </w:rPr>
        <w:t>с.90-91</w:t>
      </w:r>
    </w:p>
  </w:footnote>
  <w:footnote w:id="46">
    <w:p w:rsidR="005572BD" w:rsidRDefault="005572BD" w:rsidP="007807CD">
      <w:pPr>
        <w:pStyle w:val="zab"/>
        <w:spacing w:line="240" w:lineRule="auto"/>
        <w:ind w:firstLine="360"/>
      </w:pPr>
      <w:r w:rsidRPr="00ED0EDA">
        <w:rPr>
          <w:rFonts w:ascii="Times New Roman" w:hAnsi="Times New Roman" w:cs="Times New Roman"/>
          <w:color w:val="auto"/>
          <w:sz w:val="20"/>
          <w:szCs w:val="20"/>
          <w:vertAlign w:val="superscript"/>
        </w:rPr>
        <w:footnoteRef/>
      </w:r>
      <w:r w:rsidRPr="00ED0EDA">
        <w:rPr>
          <w:rFonts w:ascii="Times New Roman" w:hAnsi="Times New Roman" w:cs="Times New Roman"/>
          <w:color w:val="auto"/>
          <w:sz w:val="20"/>
          <w:szCs w:val="20"/>
          <w:lang w:val="bg-BG"/>
        </w:rPr>
        <w:t xml:space="preserve"> Вж. практика на СЕС: </w:t>
      </w:r>
      <w:r w:rsidRPr="00ED0EDA">
        <w:rPr>
          <w:rFonts w:ascii="Times New Roman" w:hAnsi="Times New Roman" w:cs="Times New Roman"/>
          <w:i/>
          <w:iCs/>
          <w:color w:val="auto"/>
          <w:sz w:val="20"/>
          <w:szCs w:val="20"/>
          <w:lang w:val="bg-BG"/>
        </w:rPr>
        <w:t>Gabrielle Defrenne</w:t>
      </w:r>
      <w:r w:rsidRPr="00ED0EDA">
        <w:rPr>
          <w:rFonts w:ascii="Times New Roman" w:hAnsi="Times New Roman" w:cs="Times New Roman"/>
          <w:color w:val="auto"/>
          <w:sz w:val="20"/>
          <w:szCs w:val="20"/>
          <w:lang w:val="bg-BG"/>
        </w:rPr>
        <w:t xml:space="preserve"> (C–149/77), ECLI:EU:C:1978:130; </w:t>
      </w:r>
      <w:r w:rsidRPr="00ED0EDA">
        <w:rPr>
          <w:rFonts w:ascii="Times New Roman" w:hAnsi="Times New Roman" w:cs="Times New Roman"/>
          <w:i/>
          <w:iCs/>
          <w:color w:val="auto"/>
          <w:sz w:val="20"/>
          <w:szCs w:val="20"/>
          <w:lang w:val="bg-BG"/>
        </w:rPr>
        <w:t>Erich Stauder</w:t>
      </w:r>
      <w:r w:rsidRPr="00ED0EDA">
        <w:rPr>
          <w:rFonts w:ascii="Times New Roman" w:hAnsi="Times New Roman" w:cs="Times New Roman"/>
          <w:color w:val="auto"/>
          <w:sz w:val="20"/>
          <w:szCs w:val="20"/>
          <w:lang w:val="bg-BG"/>
        </w:rPr>
        <w:t xml:space="preserve"> (C–29/69), ECLI:EU:C:1969:57; </w:t>
      </w:r>
      <w:r w:rsidRPr="00ED0EDA">
        <w:rPr>
          <w:rFonts w:ascii="Times New Roman" w:hAnsi="Times New Roman" w:cs="Times New Roman"/>
          <w:i/>
          <w:iCs/>
          <w:color w:val="auto"/>
          <w:sz w:val="20"/>
          <w:szCs w:val="20"/>
          <w:lang w:val="bg-BG"/>
        </w:rPr>
        <w:t>Internationale Handelsgesellschaft mbH</w:t>
      </w:r>
      <w:r w:rsidRPr="00ED0EDA">
        <w:rPr>
          <w:rFonts w:ascii="Times New Roman" w:hAnsi="Times New Roman" w:cs="Times New Roman"/>
          <w:color w:val="auto"/>
          <w:sz w:val="20"/>
          <w:szCs w:val="20"/>
          <w:lang w:val="bg-BG"/>
        </w:rPr>
        <w:t xml:space="preserve"> (C–11/70), ECLI:EU:C:1970:114; </w:t>
      </w:r>
      <w:r w:rsidRPr="00ED0EDA">
        <w:rPr>
          <w:rFonts w:ascii="Times New Roman" w:hAnsi="Times New Roman" w:cs="Times New Roman"/>
          <w:i/>
          <w:iCs/>
          <w:color w:val="auto"/>
          <w:sz w:val="20"/>
          <w:szCs w:val="20"/>
          <w:lang w:val="bg-BG"/>
        </w:rPr>
        <w:t xml:space="preserve">Liselotte Hauer </w:t>
      </w:r>
      <w:r w:rsidRPr="00ED0EDA">
        <w:rPr>
          <w:rFonts w:ascii="Times New Roman" w:hAnsi="Times New Roman" w:cs="Times New Roman"/>
          <w:color w:val="auto"/>
          <w:sz w:val="20"/>
          <w:szCs w:val="20"/>
          <w:lang w:val="bg-BG"/>
        </w:rPr>
        <w:t xml:space="preserve">(C–44/79), ECLI:EU:C:1979:290; </w:t>
      </w:r>
      <w:r w:rsidRPr="00ED0EDA">
        <w:rPr>
          <w:rFonts w:ascii="Times New Roman" w:hAnsi="Times New Roman" w:cs="Times New Roman"/>
          <w:i/>
          <w:iCs/>
          <w:color w:val="auto"/>
          <w:sz w:val="20"/>
          <w:szCs w:val="20"/>
          <w:lang w:val="bg-BG"/>
        </w:rPr>
        <w:t>Georg von Deetzen</w:t>
      </w:r>
      <w:r w:rsidRPr="00ED0EDA">
        <w:rPr>
          <w:rFonts w:ascii="Times New Roman" w:hAnsi="Times New Roman" w:cs="Times New Roman"/>
          <w:color w:val="auto"/>
          <w:sz w:val="20"/>
          <w:szCs w:val="20"/>
          <w:lang w:val="bg-BG"/>
        </w:rPr>
        <w:t xml:space="preserve"> (C–44/89), ECLI:EU:C:1991:401; </w:t>
      </w:r>
      <w:r w:rsidRPr="00ED0EDA">
        <w:rPr>
          <w:rFonts w:ascii="Times New Roman" w:hAnsi="Times New Roman" w:cs="Times New Roman"/>
          <w:i/>
          <w:iCs/>
          <w:color w:val="auto"/>
          <w:sz w:val="20"/>
          <w:szCs w:val="20"/>
          <w:lang w:val="bg-BG"/>
        </w:rPr>
        <w:t>Hoechst AG</w:t>
      </w:r>
      <w:r w:rsidRPr="00ED0EDA">
        <w:rPr>
          <w:rFonts w:ascii="Times New Roman" w:hAnsi="Times New Roman" w:cs="Times New Roman"/>
          <w:color w:val="auto"/>
          <w:sz w:val="20"/>
          <w:szCs w:val="20"/>
          <w:lang w:val="bg-BG"/>
        </w:rPr>
        <w:t xml:space="preserve"> (C–46/87), ECLI:EU:C:1989:337; </w:t>
      </w:r>
      <w:r w:rsidRPr="00ED0EDA">
        <w:rPr>
          <w:rFonts w:ascii="Times New Roman" w:hAnsi="Times New Roman" w:cs="Times New Roman"/>
          <w:i/>
          <w:iCs/>
          <w:color w:val="auto"/>
          <w:sz w:val="20"/>
          <w:szCs w:val="20"/>
          <w:lang w:val="bg-BG"/>
        </w:rPr>
        <w:t>Hoechst AG</w:t>
      </w:r>
      <w:r w:rsidRPr="00ED0EDA">
        <w:rPr>
          <w:rFonts w:ascii="Times New Roman" w:hAnsi="Times New Roman" w:cs="Times New Roman"/>
          <w:color w:val="auto"/>
          <w:sz w:val="20"/>
          <w:szCs w:val="20"/>
          <w:lang w:val="bg-BG"/>
        </w:rPr>
        <w:t xml:space="preserve"> (C–227/88), ECLI:EU:C:1989:337; </w:t>
      </w:r>
      <w:r w:rsidRPr="00ED0EDA">
        <w:rPr>
          <w:rFonts w:ascii="Times New Roman" w:hAnsi="Times New Roman" w:cs="Times New Roman"/>
          <w:i/>
          <w:iCs/>
          <w:color w:val="auto"/>
          <w:sz w:val="20"/>
          <w:szCs w:val="20"/>
          <w:lang w:val="bg-BG"/>
        </w:rPr>
        <w:t xml:space="preserve">Société financière d‘investissements SPRL (SFI) </w:t>
      </w:r>
      <w:r w:rsidRPr="00ED0EDA">
        <w:rPr>
          <w:rFonts w:ascii="Times New Roman" w:hAnsi="Times New Roman" w:cs="Times New Roman"/>
          <w:color w:val="auto"/>
          <w:sz w:val="20"/>
          <w:szCs w:val="20"/>
          <w:lang w:val="bg-BG"/>
        </w:rPr>
        <w:t xml:space="preserve">(C–85/97), ECLI:EU:C:1998:552; </w:t>
      </w:r>
      <w:r w:rsidRPr="00ED0EDA">
        <w:rPr>
          <w:rFonts w:ascii="Times New Roman" w:hAnsi="Times New Roman" w:cs="Times New Roman"/>
          <w:i/>
          <w:iCs/>
          <w:color w:val="auto"/>
          <w:sz w:val="20"/>
          <w:szCs w:val="20"/>
          <w:lang w:val="bg-BG"/>
        </w:rPr>
        <w:t>Weber</w:t>
      </w:r>
      <w:r w:rsidRPr="00ED0EDA">
        <w:rPr>
          <w:rFonts w:ascii="Times New Roman" w:hAnsi="Times New Roman" w:cs="Times New Roman"/>
          <w:color w:val="auto"/>
          <w:sz w:val="20"/>
          <w:szCs w:val="20"/>
          <w:lang w:val="bg-BG"/>
        </w:rPr>
        <w:t xml:space="preserve"> (C–314/91), ECLI:EU:C:2003:396; </w:t>
      </w:r>
      <w:r w:rsidRPr="00ED0EDA">
        <w:rPr>
          <w:rFonts w:ascii="Times New Roman" w:hAnsi="Times New Roman" w:cs="Times New Roman"/>
          <w:i/>
          <w:iCs/>
          <w:color w:val="auto"/>
          <w:sz w:val="20"/>
          <w:szCs w:val="20"/>
          <w:lang w:val="bg-BG"/>
        </w:rPr>
        <w:t>Mannesmann AG</w:t>
      </w:r>
      <w:r w:rsidRPr="00ED0EDA">
        <w:rPr>
          <w:rFonts w:ascii="Times New Roman" w:hAnsi="Times New Roman" w:cs="Times New Roman"/>
          <w:color w:val="auto"/>
          <w:sz w:val="20"/>
          <w:szCs w:val="20"/>
          <w:lang w:val="bg-BG"/>
        </w:rPr>
        <w:t xml:space="preserve"> (C–4/59 and C–13/59), ECLI:EU:C:1960:13.</w:t>
      </w:r>
    </w:p>
  </w:footnote>
  <w:footnote w:id="47">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По отношение на прозрачността и защитата на личните данни, вж материалите от Конгреса на Асоциацията на данъчните професори, състоял се в Цюрих през м.юни 2018г.: </w:t>
      </w:r>
      <w:hyperlink r:id="rId12" w:history="1">
        <w:r w:rsidRPr="00ED0EDA">
          <w:rPr>
            <w:rFonts w:ascii="Times New Roman" w:hAnsi="Times New Roman"/>
            <w:u w:val="single"/>
          </w:rPr>
          <w:t>https://www.eatlp.org/congresses/pastcongresses1/308-2018-zuerich</w:t>
        </w:r>
      </w:hyperlink>
      <w:r w:rsidRPr="00ED0EDA">
        <w:rPr>
          <w:rFonts w:ascii="Times New Roman" w:hAnsi="Times New Roman"/>
        </w:rPr>
        <w:t xml:space="preserve"> [посетена на 1.11.2019г.] Интересът към темата е особено значим, с оглед на теча на лични данни от НАП </w:t>
      </w:r>
      <w:hyperlink r:id="rId13" w:history="1">
        <w:r w:rsidRPr="00ED0EDA">
          <w:rPr>
            <w:rFonts w:ascii="Times New Roman" w:hAnsi="Times New Roman"/>
            <w:u w:val="single"/>
          </w:rPr>
          <w:t>https://check.nra.bg/</w:t>
        </w:r>
      </w:hyperlink>
      <w:r>
        <w:rPr>
          <w:rFonts w:ascii="Times New Roman" w:hAnsi="Times New Roman"/>
        </w:rPr>
        <w:t>.</w:t>
      </w:r>
    </w:p>
  </w:footnote>
  <w:footnote w:id="48">
    <w:p w:rsidR="005572BD" w:rsidRDefault="005572BD" w:rsidP="007807CD">
      <w:pPr>
        <w:pStyle w:val="zab"/>
        <w:spacing w:line="240" w:lineRule="auto"/>
        <w:ind w:firstLine="360"/>
      </w:pPr>
      <w:r w:rsidRPr="00ED0EDA">
        <w:rPr>
          <w:rFonts w:ascii="Times New Roman" w:hAnsi="Times New Roman" w:cs="Times New Roman"/>
          <w:color w:val="auto"/>
          <w:sz w:val="20"/>
          <w:szCs w:val="20"/>
          <w:vertAlign w:val="superscript"/>
        </w:rPr>
        <w:footnoteRef/>
      </w:r>
      <w:r w:rsidRPr="00ED0EDA">
        <w:rPr>
          <w:rFonts w:ascii="Times New Roman" w:hAnsi="Times New Roman" w:cs="Times New Roman"/>
          <w:color w:val="auto"/>
          <w:sz w:val="20"/>
          <w:szCs w:val="20"/>
          <w:lang w:val="bg-BG"/>
        </w:rPr>
        <w:t xml:space="preserve"> Вж. някои интересни решения на СЕС за тях: </w:t>
      </w:r>
      <w:r w:rsidRPr="00ED0EDA">
        <w:rPr>
          <w:rFonts w:ascii="Times New Roman" w:hAnsi="Times New Roman" w:cs="Times New Roman"/>
          <w:i/>
          <w:iCs/>
          <w:color w:val="auto"/>
          <w:sz w:val="20"/>
          <w:szCs w:val="20"/>
          <w:lang w:val="bg-BG"/>
        </w:rPr>
        <w:t>Gabrielle Defrenne</w:t>
      </w:r>
      <w:r w:rsidRPr="00ED0EDA">
        <w:rPr>
          <w:rFonts w:ascii="Times New Roman" w:hAnsi="Times New Roman" w:cs="Times New Roman"/>
          <w:color w:val="auto"/>
          <w:sz w:val="20"/>
          <w:szCs w:val="20"/>
          <w:lang w:val="bg-BG"/>
        </w:rPr>
        <w:t xml:space="preserve"> (C–149/77),ECLI:EU:C:1978:130; </w:t>
      </w:r>
      <w:r w:rsidRPr="00ED0EDA">
        <w:rPr>
          <w:rFonts w:ascii="Times New Roman" w:hAnsi="Times New Roman" w:cs="Times New Roman"/>
          <w:i/>
          <w:iCs/>
          <w:color w:val="auto"/>
          <w:sz w:val="20"/>
          <w:szCs w:val="20"/>
          <w:lang w:val="bg-BG"/>
        </w:rPr>
        <w:t xml:space="preserve">Erich Stauder </w:t>
      </w:r>
      <w:r w:rsidRPr="00ED0EDA">
        <w:rPr>
          <w:rFonts w:ascii="Times New Roman" w:hAnsi="Times New Roman" w:cs="Times New Roman"/>
          <w:color w:val="auto"/>
          <w:sz w:val="20"/>
          <w:szCs w:val="20"/>
          <w:lang w:val="bg-BG"/>
        </w:rPr>
        <w:t xml:space="preserve">(C–29/69), ECLI:EU:C:1969:57; </w:t>
      </w:r>
      <w:r w:rsidRPr="00ED0EDA">
        <w:rPr>
          <w:rFonts w:ascii="Times New Roman" w:hAnsi="Times New Roman" w:cs="Times New Roman"/>
          <w:i/>
          <w:iCs/>
          <w:color w:val="auto"/>
          <w:sz w:val="20"/>
          <w:szCs w:val="20"/>
          <w:lang w:val="bg-BG"/>
        </w:rPr>
        <w:t>Internationale Handelsgesellschaft mbH</w:t>
      </w:r>
      <w:r w:rsidRPr="00ED0EDA">
        <w:rPr>
          <w:rFonts w:ascii="Times New Roman" w:hAnsi="Times New Roman" w:cs="Times New Roman"/>
          <w:color w:val="auto"/>
          <w:sz w:val="20"/>
          <w:szCs w:val="20"/>
          <w:lang w:val="bg-BG"/>
        </w:rPr>
        <w:t xml:space="preserve"> (C–11/70), ECLI:EU:C:1970:114; </w:t>
      </w:r>
      <w:r w:rsidRPr="00ED0EDA">
        <w:rPr>
          <w:rFonts w:ascii="Times New Roman" w:hAnsi="Times New Roman" w:cs="Times New Roman"/>
          <w:i/>
          <w:iCs/>
          <w:color w:val="auto"/>
          <w:sz w:val="20"/>
          <w:szCs w:val="20"/>
          <w:lang w:val="bg-BG"/>
        </w:rPr>
        <w:t>Liselotte Hauer</w:t>
      </w:r>
      <w:r w:rsidRPr="00ED0EDA">
        <w:rPr>
          <w:rFonts w:ascii="Times New Roman" w:hAnsi="Times New Roman" w:cs="Times New Roman"/>
          <w:color w:val="auto"/>
          <w:sz w:val="20"/>
          <w:szCs w:val="20"/>
          <w:lang w:val="bg-BG"/>
        </w:rPr>
        <w:t xml:space="preserve"> (C–44/79), ECLI:EU:C:1979:290; </w:t>
      </w:r>
      <w:r w:rsidRPr="00ED0EDA">
        <w:rPr>
          <w:rFonts w:ascii="Times New Roman" w:hAnsi="Times New Roman" w:cs="Times New Roman"/>
          <w:i/>
          <w:iCs/>
          <w:color w:val="auto"/>
          <w:sz w:val="20"/>
          <w:szCs w:val="20"/>
          <w:lang w:val="bg-BG"/>
        </w:rPr>
        <w:t>Georg von Deetzen</w:t>
      </w:r>
      <w:r w:rsidRPr="00ED0EDA">
        <w:rPr>
          <w:rFonts w:ascii="Times New Roman" w:hAnsi="Times New Roman" w:cs="Times New Roman"/>
          <w:color w:val="auto"/>
          <w:sz w:val="20"/>
          <w:szCs w:val="20"/>
          <w:lang w:val="bg-BG"/>
        </w:rPr>
        <w:t xml:space="preserve"> (C–44/89), ECLI:EU:C:1991:401; </w:t>
      </w:r>
      <w:r w:rsidRPr="00ED0EDA">
        <w:rPr>
          <w:rFonts w:ascii="Times New Roman" w:hAnsi="Times New Roman" w:cs="Times New Roman"/>
          <w:i/>
          <w:iCs/>
          <w:color w:val="auto"/>
          <w:sz w:val="20"/>
          <w:szCs w:val="20"/>
          <w:lang w:val="bg-BG"/>
        </w:rPr>
        <w:t>Hoechst AG</w:t>
      </w:r>
      <w:r w:rsidRPr="00ED0EDA">
        <w:rPr>
          <w:rFonts w:ascii="Times New Roman" w:hAnsi="Times New Roman" w:cs="Times New Roman"/>
          <w:color w:val="auto"/>
          <w:sz w:val="20"/>
          <w:szCs w:val="20"/>
          <w:lang w:val="bg-BG"/>
        </w:rPr>
        <w:t xml:space="preserve"> (C–46/87 and C–227/88), ECLI:EU:C:1989:337; </w:t>
      </w:r>
      <w:r w:rsidRPr="00ED0EDA">
        <w:rPr>
          <w:rFonts w:ascii="Times New Roman" w:hAnsi="Times New Roman" w:cs="Times New Roman"/>
          <w:i/>
          <w:iCs/>
          <w:color w:val="auto"/>
          <w:sz w:val="20"/>
          <w:szCs w:val="20"/>
          <w:lang w:val="bg-BG"/>
        </w:rPr>
        <w:t xml:space="preserve">Société financière d‘investissements SPRL (SFI) </w:t>
      </w:r>
      <w:r w:rsidRPr="00ED0EDA">
        <w:rPr>
          <w:rFonts w:ascii="Times New Roman" w:hAnsi="Times New Roman" w:cs="Times New Roman"/>
          <w:color w:val="auto"/>
          <w:sz w:val="20"/>
          <w:szCs w:val="20"/>
          <w:lang w:val="bg-BG"/>
        </w:rPr>
        <w:t xml:space="preserve">(C–85/97), ECLI:EU:C:1998:552; </w:t>
      </w:r>
      <w:r w:rsidRPr="00ED0EDA">
        <w:rPr>
          <w:rFonts w:ascii="Times New Roman" w:hAnsi="Times New Roman" w:cs="Times New Roman"/>
          <w:i/>
          <w:iCs/>
          <w:color w:val="auto"/>
          <w:sz w:val="20"/>
          <w:szCs w:val="20"/>
          <w:lang w:val="bg-BG"/>
        </w:rPr>
        <w:t>Weber</w:t>
      </w:r>
      <w:r w:rsidRPr="00ED0EDA">
        <w:rPr>
          <w:rFonts w:ascii="Times New Roman" w:hAnsi="Times New Roman" w:cs="Times New Roman"/>
          <w:color w:val="auto"/>
          <w:sz w:val="20"/>
          <w:szCs w:val="20"/>
          <w:lang w:val="bg-BG"/>
        </w:rPr>
        <w:t xml:space="preserve"> (C–314/91), ECLI:EU:C:1993:109; </w:t>
      </w:r>
      <w:r w:rsidRPr="00ED0EDA">
        <w:rPr>
          <w:rFonts w:ascii="Times New Roman" w:hAnsi="Times New Roman" w:cs="Times New Roman"/>
          <w:i/>
          <w:iCs/>
          <w:color w:val="auto"/>
          <w:sz w:val="20"/>
          <w:szCs w:val="20"/>
          <w:lang w:val="bg-BG"/>
        </w:rPr>
        <w:t>Mannesmann</w:t>
      </w:r>
      <w:r w:rsidRPr="00ED0EDA">
        <w:rPr>
          <w:rFonts w:ascii="Times New Roman" w:hAnsi="Times New Roman" w:cs="Times New Roman"/>
          <w:color w:val="auto"/>
          <w:sz w:val="20"/>
          <w:szCs w:val="20"/>
          <w:lang w:val="bg-BG"/>
        </w:rPr>
        <w:t xml:space="preserve"> (C–4–13/59)</w:t>
      </w:r>
    </w:p>
  </w:footnote>
  <w:footnote w:id="49">
    <w:p w:rsidR="005572BD" w:rsidRDefault="005572BD" w:rsidP="007807CD">
      <w:pPr>
        <w:pStyle w:val="zab"/>
        <w:spacing w:line="240" w:lineRule="auto"/>
        <w:ind w:firstLine="360"/>
      </w:pPr>
      <w:r w:rsidRPr="00ED0EDA">
        <w:rPr>
          <w:rFonts w:ascii="Times New Roman" w:hAnsi="Times New Roman" w:cs="Times New Roman"/>
          <w:color w:val="auto"/>
          <w:sz w:val="20"/>
          <w:szCs w:val="20"/>
          <w:vertAlign w:val="superscript"/>
        </w:rPr>
        <w:footnoteRef/>
      </w:r>
      <w:r w:rsidRPr="00ED0EDA">
        <w:rPr>
          <w:rFonts w:ascii="Times New Roman" w:hAnsi="Times New Roman" w:cs="Times New Roman"/>
          <w:color w:val="auto"/>
          <w:sz w:val="20"/>
          <w:szCs w:val="20"/>
          <w:lang w:val="bg-BG"/>
        </w:rPr>
        <w:t xml:space="preserve"> Виж презентация на PwC Legal „Recent Case Law of the CJEU in the area of VA</w:t>
      </w:r>
      <w:r>
        <w:rPr>
          <w:rFonts w:ascii="Times New Roman" w:hAnsi="Times New Roman" w:cs="Times New Roman"/>
          <w:color w:val="auto"/>
          <w:sz w:val="20"/>
          <w:szCs w:val="20"/>
          <w:lang w:val="en-GB"/>
        </w:rPr>
        <w:t>T</w:t>
      </w:r>
      <w:r w:rsidRPr="00ED0EDA">
        <w:rPr>
          <w:rFonts w:ascii="Times New Roman" w:hAnsi="Times New Roman" w:cs="Times New Roman"/>
          <w:color w:val="auto"/>
          <w:sz w:val="20"/>
          <w:szCs w:val="20"/>
          <w:lang w:val="bg-BG"/>
        </w:rPr>
        <w:t xml:space="preserve"> – In which direction does the CJEU go?“</w:t>
      </w:r>
      <w:r w:rsidRPr="00ED0EDA">
        <w:rPr>
          <w:rFonts w:ascii="Times New Roman" w:hAnsi="Times New Roman" w:cs="Times New Roman"/>
          <w:color w:val="auto"/>
          <w:sz w:val="20"/>
          <w:szCs w:val="20"/>
          <w:lang w:val="en-GB"/>
        </w:rPr>
        <w:t>,</w:t>
      </w:r>
      <w:r w:rsidRPr="00ED0EDA">
        <w:rPr>
          <w:rFonts w:ascii="Times New Roman" w:hAnsi="Times New Roman" w:cs="Times New Roman"/>
          <w:b/>
          <w:bCs/>
          <w:color w:val="auto"/>
          <w:sz w:val="20"/>
          <w:szCs w:val="20"/>
          <w:lang w:val="bg-BG"/>
        </w:rPr>
        <w:t xml:space="preserve"> </w:t>
      </w:r>
      <w:r w:rsidRPr="0083025B">
        <w:rPr>
          <w:rFonts w:ascii="Times New Roman" w:hAnsi="Times New Roman" w:cs="Times New Roman"/>
          <w:color w:val="auto"/>
          <w:sz w:val="20"/>
          <w:szCs w:val="20"/>
          <w:lang w:val="en-GB"/>
        </w:rPr>
        <w:t>Conference „</w:t>
      </w:r>
      <w:r w:rsidRPr="0083025B">
        <w:rPr>
          <w:rFonts w:ascii="Times New Roman" w:hAnsi="Times New Roman" w:cs="Times New Roman"/>
          <w:color w:val="auto"/>
          <w:sz w:val="20"/>
          <w:szCs w:val="20"/>
          <w:lang w:val="bg-BG"/>
        </w:rPr>
        <w:t>Court of Justice of the European Union: Recent VAT Case Law“</w:t>
      </w:r>
      <w:r>
        <w:rPr>
          <w:rFonts w:ascii="Times New Roman" w:hAnsi="Times New Roman" w:cs="Times New Roman"/>
          <w:color w:val="auto"/>
          <w:sz w:val="20"/>
          <w:szCs w:val="20"/>
          <w:lang w:val="bg-BG"/>
        </w:rPr>
        <w:t>,</w:t>
      </w:r>
      <w:r w:rsidRPr="00ED0EDA">
        <w:rPr>
          <w:rFonts w:ascii="Times New Roman" w:hAnsi="Times New Roman" w:cs="Times New Roman"/>
          <w:color w:val="auto"/>
          <w:sz w:val="20"/>
          <w:szCs w:val="20"/>
          <w:lang w:val="bg-BG"/>
        </w:rPr>
        <w:t xml:space="preserve"> WU (Vienna University of Economics and Business), January 29–31, 2019, Vienna, Austria.</w:t>
      </w:r>
    </w:p>
  </w:footnote>
  <w:footnote w:id="50">
    <w:p w:rsidR="005572BD" w:rsidRPr="00ED0EDA" w:rsidRDefault="005572BD" w:rsidP="007807CD">
      <w:pPr>
        <w:pStyle w:val="zab"/>
        <w:spacing w:line="240" w:lineRule="auto"/>
        <w:ind w:firstLine="360"/>
        <w:rPr>
          <w:rFonts w:ascii="Times New Roman" w:hAnsi="Times New Roman" w:cs="Times New Roman"/>
          <w:color w:val="auto"/>
          <w:sz w:val="20"/>
          <w:szCs w:val="20"/>
          <w:lang w:val="bg-BG"/>
        </w:rPr>
      </w:pPr>
      <w:r w:rsidRPr="00ED0EDA">
        <w:rPr>
          <w:rFonts w:ascii="Times New Roman" w:hAnsi="Times New Roman" w:cs="Times New Roman"/>
          <w:color w:val="auto"/>
          <w:sz w:val="20"/>
          <w:szCs w:val="20"/>
          <w:vertAlign w:val="superscript"/>
        </w:rPr>
        <w:footnoteRef/>
      </w:r>
      <w:r w:rsidRPr="00ED0EDA">
        <w:rPr>
          <w:rFonts w:ascii="Times New Roman" w:hAnsi="Times New Roman" w:cs="Times New Roman"/>
          <w:color w:val="auto"/>
          <w:sz w:val="20"/>
          <w:szCs w:val="20"/>
          <w:lang w:val="bg-BG"/>
        </w:rPr>
        <w:t xml:space="preserve"> Вж. решения </w:t>
      </w:r>
      <w:r w:rsidRPr="00ED0EDA">
        <w:rPr>
          <w:rFonts w:ascii="Times New Roman" w:hAnsi="Times New Roman" w:cs="Times New Roman"/>
          <w:i/>
          <w:iCs/>
          <w:color w:val="auto"/>
          <w:sz w:val="20"/>
          <w:szCs w:val="20"/>
          <w:lang w:val="bg-BG"/>
        </w:rPr>
        <w:t>ERT</w:t>
      </w:r>
      <w:r w:rsidRPr="00ED0EDA">
        <w:rPr>
          <w:rFonts w:ascii="Times New Roman" w:hAnsi="Times New Roman" w:cs="Times New Roman"/>
          <w:color w:val="auto"/>
          <w:sz w:val="20"/>
          <w:szCs w:val="20"/>
          <w:lang w:val="bg-BG"/>
        </w:rPr>
        <w:t xml:space="preserve">, C–260/89, EU:C:1991:254, т. 41, </w:t>
      </w:r>
      <w:r w:rsidRPr="00ED0EDA">
        <w:rPr>
          <w:rFonts w:ascii="Times New Roman" w:hAnsi="Times New Roman" w:cs="Times New Roman"/>
          <w:i/>
          <w:iCs/>
          <w:color w:val="auto"/>
          <w:sz w:val="20"/>
          <w:szCs w:val="20"/>
          <w:lang w:val="bg-BG"/>
        </w:rPr>
        <w:t>Kremzow</w:t>
      </w:r>
      <w:r w:rsidRPr="00ED0EDA">
        <w:rPr>
          <w:rFonts w:ascii="Times New Roman" w:hAnsi="Times New Roman" w:cs="Times New Roman"/>
          <w:color w:val="auto"/>
          <w:sz w:val="20"/>
          <w:szCs w:val="20"/>
          <w:lang w:val="bg-BG"/>
        </w:rPr>
        <w:t xml:space="preserve">, C–299/95, EU:C:1997:254, т. 14, </w:t>
      </w:r>
      <w:r w:rsidRPr="00ED0EDA">
        <w:rPr>
          <w:rFonts w:ascii="Times New Roman" w:hAnsi="Times New Roman" w:cs="Times New Roman"/>
          <w:i/>
          <w:iCs/>
          <w:color w:val="auto"/>
          <w:sz w:val="20"/>
          <w:szCs w:val="20"/>
          <w:lang w:val="bg-BG"/>
        </w:rPr>
        <w:t>Schmidberger</w:t>
      </w:r>
      <w:r w:rsidRPr="00ED0EDA">
        <w:rPr>
          <w:rFonts w:ascii="Times New Roman" w:hAnsi="Times New Roman" w:cs="Times New Roman"/>
          <w:color w:val="auto"/>
          <w:sz w:val="20"/>
          <w:szCs w:val="20"/>
          <w:lang w:val="bg-BG"/>
        </w:rPr>
        <w:t>, C–112/00, EU:C:2003:333, т. 73, както и Ka</w:t>
      </w:r>
      <w:r w:rsidRPr="00ED0EDA">
        <w:rPr>
          <w:rFonts w:ascii="Times New Roman" w:hAnsi="Times New Roman" w:cs="Times New Roman"/>
          <w:i/>
          <w:iCs/>
          <w:color w:val="auto"/>
          <w:sz w:val="20"/>
          <w:szCs w:val="20"/>
          <w:lang w:val="bg-BG"/>
        </w:rPr>
        <w:t>di и Al Barakaat International Foundation/Съвет и Комисия</w:t>
      </w:r>
      <w:r w:rsidRPr="00ED0EDA">
        <w:rPr>
          <w:rFonts w:ascii="Times New Roman" w:hAnsi="Times New Roman" w:cs="Times New Roman"/>
          <w:color w:val="auto"/>
          <w:sz w:val="20"/>
          <w:szCs w:val="20"/>
          <w:lang w:val="bg-BG"/>
        </w:rPr>
        <w:t>, EU:C:2008:461, т. 283 и 284.</w:t>
      </w:r>
    </w:p>
    <w:p w:rsidR="005572BD" w:rsidRDefault="005572BD" w:rsidP="007807CD">
      <w:pPr>
        <w:pStyle w:val="zab"/>
        <w:spacing w:line="240" w:lineRule="auto"/>
        <w:ind w:firstLine="360"/>
      </w:pPr>
    </w:p>
  </w:footnote>
  <w:footnote w:id="51">
    <w:p w:rsidR="005572BD" w:rsidRDefault="005572BD" w:rsidP="007807CD">
      <w:pPr>
        <w:pStyle w:val="zab"/>
        <w:spacing w:line="240" w:lineRule="auto"/>
        <w:ind w:firstLine="360"/>
      </w:pPr>
      <w:r w:rsidRPr="00ED0EDA">
        <w:rPr>
          <w:rStyle w:val="FootnoteReference"/>
          <w:rFonts w:ascii="Times New Roman" w:hAnsi="Times New Roman"/>
          <w:color w:val="auto"/>
          <w:sz w:val="20"/>
          <w:szCs w:val="20"/>
        </w:rPr>
        <w:footnoteRef/>
      </w:r>
      <w:r w:rsidRPr="00ED0EDA">
        <w:rPr>
          <w:rFonts w:ascii="Times New Roman" w:hAnsi="Times New Roman" w:cs="Times New Roman"/>
          <w:color w:val="auto"/>
          <w:sz w:val="20"/>
          <w:szCs w:val="20"/>
        </w:rPr>
        <w:t xml:space="preserve"> </w:t>
      </w:r>
      <w:r w:rsidRPr="00ED0EDA">
        <w:rPr>
          <w:rFonts w:ascii="Times New Roman" w:hAnsi="Times New Roman" w:cs="Times New Roman"/>
          <w:color w:val="auto"/>
          <w:sz w:val="20"/>
          <w:szCs w:val="20"/>
          <w:lang w:val="bg-BG"/>
        </w:rPr>
        <w:t xml:space="preserve">По въпроса за данъчното право на ЕС и прякото данъчно облагане вж.: </w:t>
      </w:r>
      <w:r w:rsidRPr="00ED0EDA">
        <w:rPr>
          <w:rFonts w:ascii="Times New Roman" w:hAnsi="Times New Roman" w:cs="Times New Roman"/>
          <w:b/>
          <w:bCs/>
          <w:color w:val="auto"/>
          <w:sz w:val="20"/>
          <w:szCs w:val="20"/>
        </w:rPr>
        <w:t>Lang</w:t>
      </w:r>
      <w:r w:rsidRPr="00ED0EDA">
        <w:rPr>
          <w:rFonts w:ascii="Times New Roman" w:hAnsi="Times New Roman" w:cs="Times New Roman"/>
          <w:b/>
          <w:bCs/>
          <w:color w:val="auto"/>
          <w:sz w:val="20"/>
          <w:szCs w:val="20"/>
          <w:lang w:val="bg-BG"/>
        </w:rPr>
        <w:t xml:space="preserve">, </w:t>
      </w:r>
      <w:r w:rsidRPr="00ED0EDA">
        <w:rPr>
          <w:rFonts w:ascii="Times New Roman" w:hAnsi="Times New Roman" w:cs="Times New Roman"/>
          <w:b/>
          <w:bCs/>
          <w:color w:val="auto"/>
          <w:sz w:val="20"/>
          <w:szCs w:val="20"/>
        </w:rPr>
        <w:t>M</w:t>
      </w:r>
      <w:r w:rsidRPr="00ED0EDA">
        <w:rPr>
          <w:rFonts w:ascii="Times New Roman" w:hAnsi="Times New Roman" w:cs="Times New Roman"/>
          <w:b/>
          <w:bCs/>
          <w:color w:val="auto"/>
          <w:sz w:val="20"/>
          <w:szCs w:val="20"/>
          <w:lang w:val="bg-BG"/>
        </w:rPr>
        <w:t xml:space="preserve">., </w:t>
      </w:r>
      <w:r w:rsidRPr="00ED0EDA">
        <w:rPr>
          <w:rFonts w:ascii="Times New Roman" w:hAnsi="Times New Roman" w:cs="Times New Roman"/>
          <w:b/>
          <w:bCs/>
          <w:color w:val="auto"/>
          <w:sz w:val="20"/>
          <w:szCs w:val="20"/>
        </w:rPr>
        <w:t>P</w:t>
      </w:r>
      <w:r w:rsidRPr="00ED0EDA">
        <w:rPr>
          <w:rFonts w:ascii="Times New Roman" w:hAnsi="Times New Roman" w:cs="Times New Roman"/>
          <w:b/>
          <w:bCs/>
          <w:color w:val="auto"/>
          <w:sz w:val="20"/>
          <w:szCs w:val="20"/>
          <w:lang w:val="bg-BG"/>
        </w:rPr>
        <w:t xml:space="preserve">. </w:t>
      </w:r>
      <w:r w:rsidRPr="00ED0EDA">
        <w:rPr>
          <w:rFonts w:ascii="Times New Roman" w:hAnsi="Times New Roman" w:cs="Times New Roman"/>
          <w:b/>
          <w:bCs/>
          <w:color w:val="auto"/>
          <w:sz w:val="20"/>
          <w:szCs w:val="20"/>
        </w:rPr>
        <w:t>Pistone</w:t>
      </w:r>
      <w:r w:rsidRPr="00ED0EDA">
        <w:rPr>
          <w:rFonts w:ascii="Times New Roman" w:hAnsi="Times New Roman" w:cs="Times New Roman"/>
          <w:b/>
          <w:bCs/>
          <w:color w:val="auto"/>
          <w:sz w:val="20"/>
          <w:szCs w:val="20"/>
          <w:lang w:val="bg-BG"/>
        </w:rPr>
        <w:t xml:space="preserve">, </w:t>
      </w:r>
      <w:r w:rsidRPr="00ED0EDA">
        <w:rPr>
          <w:rFonts w:ascii="Times New Roman" w:hAnsi="Times New Roman" w:cs="Times New Roman"/>
          <w:b/>
          <w:bCs/>
          <w:color w:val="auto"/>
          <w:sz w:val="20"/>
          <w:szCs w:val="20"/>
        </w:rPr>
        <w:t>J</w:t>
      </w:r>
      <w:r w:rsidRPr="00ED0EDA">
        <w:rPr>
          <w:rFonts w:ascii="Times New Roman" w:hAnsi="Times New Roman" w:cs="Times New Roman"/>
          <w:b/>
          <w:bCs/>
          <w:color w:val="auto"/>
          <w:sz w:val="20"/>
          <w:szCs w:val="20"/>
          <w:lang w:val="bg-BG"/>
        </w:rPr>
        <w:t xml:space="preserve">. </w:t>
      </w:r>
      <w:r w:rsidRPr="00ED0EDA">
        <w:rPr>
          <w:rFonts w:ascii="Times New Roman" w:hAnsi="Times New Roman" w:cs="Times New Roman"/>
          <w:b/>
          <w:bCs/>
          <w:color w:val="auto"/>
          <w:sz w:val="20"/>
          <w:szCs w:val="20"/>
        </w:rPr>
        <w:t>Schuch</w:t>
      </w:r>
      <w:r w:rsidRPr="00ED0EDA">
        <w:rPr>
          <w:rFonts w:ascii="Times New Roman" w:hAnsi="Times New Roman" w:cs="Times New Roman"/>
          <w:b/>
          <w:bCs/>
          <w:color w:val="auto"/>
          <w:sz w:val="20"/>
          <w:szCs w:val="20"/>
          <w:lang w:val="bg-BG"/>
        </w:rPr>
        <w:t xml:space="preserve">, </w:t>
      </w:r>
      <w:r w:rsidRPr="00ED0EDA">
        <w:rPr>
          <w:rFonts w:ascii="Times New Roman" w:hAnsi="Times New Roman" w:cs="Times New Roman"/>
          <w:b/>
          <w:bCs/>
          <w:color w:val="auto"/>
          <w:sz w:val="20"/>
          <w:szCs w:val="20"/>
        </w:rPr>
        <w:t>C</w:t>
      </w:r>
      <w:r w:rsidRPr="00ED0EDA">
        <w:rPr>
          <w:rFonts w:ascii="Times New Roman" w:hAnsi="Times New Roman" w:cs="Times New Roman"/>
          <w:b/>
          <w:bCs/>
          <w:color w:val="auto"/>
          <w:sz w:val="20"/>
          <w:szCs w:val="20"/>
          <w:lang w:val="bg-BG"/>
        </w:rPr>
        <w:t>.</w:t>
      </w:r>
      <w:r w:rsidRPr="00ED0EDA">
        <w:rPr>
          <w:rFonts w:ascii="Times New Roman" w:hAnsi="Times New Roman" w:cs="Times New Roman"/>
          <w:color w:val="auto"/>
          <w:sz w:val="20"/>
          <w:szCs w:val="20"/>
          <w:lang w:val="bg-BG"/>
        </w:rPr>
        <w:t xml:space="preserve"> </w:t>
      </w:r>
      <w:r w:rsidRPr="00ED0EDA">
        <w:rPr>
          <w:rFonts w:ascii="Times New Roman" w:hAnsi="Times New Roman" w:cs="Times New Roman"/>
          <w:b/>
          <w:bCs/>
          <w:color w:val="auto"/>
          <w:sz w:val="20"/>
          <w:szCs w:val="20"/>
        </w:rPr>
        <w:t>Staringer</w:t>
      </w:r>
      <w:r w:rsidRPr="00ED0EDA">
        <w:rPr>
          <w:rFonts w:ascii="Times New Roman" w:hAnsi="Times New Roman" w:cs="Times New Roman"/>
          <w:b/>
          <w:bCs/>
          <w:color w:val="auto"/>
          <w:sz w:val="20"/>
          <w:szCs w:val="20"/>
          <w:lang w:val="bg-BG"/>
        </w:rPr>
        <w:t>.</w:t>
      </w:r>
      <w:r w:rsidRPr="00ED0EDA">
        <w:rPr>
          <w:rFonts w:ascii="Times New Roman" w:hAnsi="Times New Roman" w:cs="Times New Roman"/>
          <w:color w:val="auto"/>
          <w:sz w:val="20"/>
          <w:szCs w:val="20"/>
          <w:lang w:val="bg-BG"/>
        </w:rPr>
        <w:t xml:space="preserve"> </w:t>
      </w:r>
      <w:r w:rsidRPr="00ED0EDA">
        <w:rPr>
          <w:rFonts w:ascii="Times New Roman" w:hAnsi="Times New Roman" w:cs="Times New Roman"/>
          <w:color w:val="auto"/>
          <w:sz w:val="20"/>
          <w:szCs w:val="20"/>
          <w:lang w:val="en-GB"/>
        </w:rPr>
        <w:t>Introduction to European Tax Law on Direct Taxation. 5</w:t>
      </w:r>
      <w:r w:rsidRPr="00ED0EDA">
        <w:rPr>
          <w:rFonts w:ascii="Times New Roman" w:hAnsi="Times New Roman" w:cs="Times New Roman"/>
          <w:color w:val="auto"/>
          <w:sz w:val="20"/>
          <w:szCs w:val="20"/>
          <w:vertAlign w:val="superscript"/>
          <w:lang w:val="en-GB"/>
        </w:rPr>
        <w:t>th</w:t>
      </w:r>
      <w:r w:rsidRPr="00ED0EDA">
        <w:rPr>
          <w:rFonts w:ascii="Times New Roman" w:hAnsi="Times New Roman" w:cs="Times New Roman"/>
          <w:color w:val="auto"/>
          <w:sz w:val="20"/>
          <w:szCs w:val="20"/>
          <w:lang w:val="en-GB"/>
        </w:rPr>
        <w:t xml:space="preserve"> Edition Linde, 2018; </w:t>
      </w:r>
      <w:r w:rsidRPr="00ED0EDA">
        <w:rPr>
          <w:rFonts w:ascii="Times New Roman" w:hAnsi="Times New Roman" w:cs="Times New Roman"/>
          <w:b/>
          <w:bCs/>
          <w:color w:val="auto"/>
          <w:sz w:val="20"/>
          <w:szCs w:val="20"/>
          <w:lang w:val="en-GB"/>
        </w:rPr>
        <w:t>Marjaana, H.</w:t>
      </w:r>
      <w:r w:rsidRPr="00ED0EDA">
        <w:rPr>
          <w:rFonts w:ascii="Times New Roman" w:hAnsi="Times New Roman" w:cs="Times New Roman"/>
          <w:color w:val="auto"/>
          <w:sz w:val="20"/>
          <w:szCs w:val="20"/>
          <w:lang w:val="en-GB"/>
        </w:rPr>
        <w:t xml:space="preserve"> EU Tax Law – Direct Taxation. </w:t>
      </w:r>
      <w:r w:rsidRPr="00ED0EDA">
        <w:rPr>
          <w:rFonts w:ascii="Times New Roman" w:hAnsi="Times New Roman" w:cs="Times New Roman"/>
          <w:color w:val="auto"/>
          <w:sz w:val="20"/>
          <w:szCs w:val="20"/>
        </w:rPr>
        <w:t>IBFD, 2017.</w:t>
      </w:r>
    </w:p>
  </w:footnote>
  <w:footnote w:id="52">
    <w:p w:rsidR="005572BD" w:rsidRDefault="005572BD" w:rsidP="007807CD">
      <w:pPr>
        <w:pStyle w:val="zab"/>
        <w:spacing w:line="240" w:lineRule="auto"/>
        <w:ind w:firstLine="360"/>
      </w:pPr>
      <w:r w:rsidRPr="00ED0EDA">
        <w:rPr>
          <w:rFonts w:ascii="Times New Roman" w:hAnsi="Times New Roman" w:cs="Times New Roman"/>
          <w:color w:val="auto"/>
          <w:sz w:val="20"/>
          <w:szCs w:val="20"/>
          <w:vertAlign w:val="superscript"/>
        </w:rPr>
        <w:footnoteRef/>
      </w:r>
      <w:r w:rsidRPr="00ED0EDA">
        <w:rPr>
          <w:rFonts w:ascii="Times New Roman" w:hAnsi="Times New Roman" w:cs="Times New Roman"/>
          <w:color w:val="auto"/>
          <w:sz w:val="20"/>
          <w:szCs w:val="20"/>
        </w:rPr>
        <w:t xml:space="preserve"> ДОПК (чл. 14) об</w:t>
      </w:r>
      <w:r>
        <w:rPr>
          <w:rFonts w:ascii="Times New Roman" w:hAnsi="Times New Roman" w:cs="Times New Roman"/>
          <w:color w:val="auto"/>
          <w:sz w:val="20"/>
          <w:szCs w:val="20"/>
        </w:rPr>
        <w:t>що характеризира кои са данъчно</w:t>
      </w:r>
      <w:r w:rsidRPr="00ED0EDA">
        <w:rPr>
          <w:rFonts w:ascii="Times New Roman" w:hAnsi="Times New Roman" w:cs="Times New Roman"/>
          <w:color w:val="auto"/>
          <w:sz w:val="20"/>
          <w:szCs w:val="20"/>
        </w:rPr>
        <w:t>задължените лица, включ</w:t>
      </w:r>
      <w:r w:rsidRPr="00ED0EDA">
        <w:rPr>
          <w:rFonts w:ascii="Times New Roman" w:hAnsi="Times New Roman" w:cs="Times New Roman"/>
          <w:color w:val="auto"/>
          <w:spacing w:val="2"/>
          <w:sz w:val="20"/>
          <w:szCs w:val="20"/>
        </w:rPr>
        <w:t>ително и всеки материален данъчен закон, доколкото това е задължителен елемент от съдържанието му. Това следва от принципа на законоустановеност. Основните права и задължения на данъчните субекти са уредени в чл. 13 и чл. 17 Д</w:t>
      </w:r>
      <w:r w:rsidRPr="00ED0EDA">
        <w:rPr>
          <w:rFonts w:ascii="Times New Roman" w:hAnsi="Times New Roman" w:cs="Times New Roman"/>
          <w:color w:val="auto"/>
          <w:sz w:val="20"/>
          <w:szCs w:val="20"/>
        </w:rPr>
        <w:t xml:space="preserve">ОПК. „Данъчната тайна“ на обстоятелствата, станали известни на органите по приходите (чл. 72–73 и чл. 74 – данъчна и осигурителна информация). Производството по данъчната регистрация е уредено в чл. 79, 80 и сл. ДОПК. В ДОПК е уредена общата данъчна регистрация, а в специалните закони – ЗДДС и ЗАДС – е уредена специалната. </w:t>
      </w:r>
    </w:p>
  </w:footnote>
  <w:footnote w:id="53">
    <w:p w:rsidR="005572BD" w:rsidRDefault="005572BD" w:rsidP="007807CD">
      <w:pPr>
        <w:pStyle w:val="zab"/>
        <w:spacing w:line="240" w:lineRule="auto"/>
        <w:ind w:firstLine="360"/>
      </w:pPr>
      <w:r w:rsidRPr="00ED0EDA">
        <w:rPr>
          <w:rFonts w:ascii="Times New Roman" w:hAnsi="Times New Roman" w:cs="Times New Roman"/>
          <w:color w:val="auto"/>
          <w:sz w:val="20"/>
          <w:szCs w:val="20"/>
          <w:vertAlign w:val="superscript"/>
        </w:rPr>
        <w:footnoteRef/>
      </w:r>
      <w:r w:rsidRPr="00ED0EDA">
        <w:rPr>
          <w:rFonts w:ascii="Times New Roman" w:hAnsi="Times New Roman" w:cs="Times New Roman"/>
          <w:color w:val="auto"/>
          <w:sz w:val="20"/>
          <w:szCs w:val="20"/>
        </w:rPr>
        <w:t xml:space="preserve"> KPMG прави интересно изследване за състоянието на данъчните администрации в днешно време „A look inside tax departments worldwide and how they are evolving. </w:t>
      </w:r>
      <w:r w:rsidRPr="00712B5F">
        <w:rPr>
          <w:rFonts w:ascii="Times New Roman" w:hAnsi="Times New Roman" w:cs="Times New Roman"/>
          <w:color w:val="auto"/>
          <w:sz w:val="20"/>
          <w:szCs w:val="20"/>
          <w:lang w:val="en-GB"/>
        </w:rPr>
        <w:t>Summary</w:t>
      </w:r>
      <w:r w:rsidRPr="005A6DD1">
        <w:rPr>
          <w:rFonts w:ascii="Times New Roman" w:hAnsi="Times New Roman" w:cs="Times New Roman"/>
          <w:color w:val="auto"/>
          <w:sz w:val="20"/>
          <w:szCs w:val="20"/>
        </w:rPr>
        <w:t xml:space="preserve"> </w:t>
      </w:r>
      <w:r w:rsidRPr="00712B5F">
        <w:rPr>
          <w:rFonts w:ascii="Times New Roman" w:hAnsi="Times New Roman" w:cs="Times New Roman"/>
          <w:color w:val="auto"/>
          <w:sz w:val="20"/>
          <w:szCs w:val="20"/>
          <w:lang w:val="en-GB"/>
        </w:rPr>
        <w:t>report</w:t>
      </w:r>
      <w:r w:rsidRPr="005A6DD1">
        <w:rPr>
          <w:rFonts w:ascii="Times New Roman" w:hAnsi="Times New Roman" w:cs="Times New Roman"/>
          <w:color w:val="auto"/>
          <w:sz w:val="20"/>
          <w:szCs w:val="20"/>
        </w:rPr>
        <w:t xml:space="preserve">: </w:t>
      </w:r>
      <w:r w:rsidRPr="00712B5F">
        <w:rPr>
          <w:rFonts w:ascii="Times New Roman" w:hAnsi="Times New Roman" w:cs="Times New Roman"/>
          <w:color w:val="auto"/>
          <w:sz w:val="20"/>
          <w:szCs w:val="20"/>
          <w:lang w:val="en-GB"/>
        </w:rPr>
        <w:t>Global</w:t>
      </w:r>
      <w:r w:rsidRPr="005A6DD1">
        <w:rPr>
          <w:rFonts w:ascii="Times New Roman" w:hAnsi="Times New Roman" w:cs="Times New Roman"/>
          <w:color w:val="auto"/>
          <w:sz w:val="20"/>
          <w:szCs w:val="20"/>
        </w:rPr>
        <w:t xml:space="preserve"> </w:t>
      </w:r>
      <w:r w:rsidRPr="00712B5F">
        <w:rPr>
          <w:rFonts w:ascii="Times New Roman" w:hAnsi="Times New Roman" w:cs="Times New Roman"/>
          <w:color w:val="auto"/>
          <w:sz w:val="20"/>
          <w:szCs w:val="20"/>
          <w:lang w:val="en-GB"/>
        </w:rPr>
        <w:t>Tax</w:t>
      </w:r>
      <w:r w:rsidRPr="005A6DD1">
        <w:rPr>
          <w:rFonts w:ascii="Times New Roman" w:hAnsi="Times New Roman" w:cs="Times New Roman"/>
          <w:color w:val="auto"/>
          <w:sz w:val="20"/>
          <w:szCs w:val="20"/>
        </w:rPr>
        <w:t xml:space="preserve"> </w:t>
      </w:r>
      <w:r w:rsidRPr="00712B5F">
        <w:rPr>
          <w:rFonts w:ascii="Times New Roman" w:hAnsi="Times New Roman" w:cs="Times New Roman"/>
          <w:color w:val="auto"/>
          <w:sz w:val="20"/>
          <w:szCs w:val="20"/>
          <w:lang w:val="en-GB"/>
        </w:rPr>
        <w:t>Department</w:t>
      </w:r>
      <w:r w:rsidRPr="005A6DD1">
        <w:rPr>
          <w:rFonts w:ascii="Times New Roman" w:hAnsi="Times New Roman" w:cs="Times New Roman"/>
          <w:color w:val="auto"/>
          <w:sz w:val="20"/>
          <w:szCs w:val="20"/>
        </w:rPr>
        <w:t xml:space="preserve"> </w:t>
      </w:r>
      <w:r w:rsidRPr="00712B5F">
        <w:rPr>
          <w:rFonts w:ascii="Times New Roman" w:hAnsi="Times New Roman" w:cs="Times New Roman"/>
          <w:color w:val="auto"/>
          <w:sz w:val="20"/>
          <w:szCs w:val="20"/>
          <w:lang w:val="en-GB"/>
        </w:rPr>
        <w:t>Benchmarking</w:t>
      </w:r>
      <w:r w:rsidRPr="005A6DD1">
        <w:rPr>
          <w:rFonts w:ascii="Times New Roman" w:hAnsi="Times New Roman" w:cs="Times New Roman"/>
          <w:color w:val="auto"/>
          <w:sz w:val="20"/>
          <w:szCs w:val="20"/>
        </w:rPr>
        <w:t xml:space="preserve">“, </w:t>
      </w:r>
      <w:r>
        <w:rPr>
          <w:rFonts w:ascii="Times New Roman" w:hAnsi="Times New Roman" w:cs="Times New Roman"/>
          <w:color w:val="auto"/>
          <w:sz w:val="20"/>
          <w:szCs w:val="20"/>
        </w:rPr>
        <w:t>достъп</w:t>
      </w:r>
      <w:r w:rsidRPr="00ED0EDA">
        <w:rPr>
          <w:rFonts w:ascii="Times New Roman" w:hAnsi="Times New Roman" w:cs="Times New Roman"/>
          <w:color w:val="auto"/>
          <w:sz w:val="20"/>
          <w:szCs w:val="20"/>
        </w:rPr>
        <w:t>но</w:t>
      </w:r>
      <w:r w:rsidRPr="005A6DD1">
        <w:rPr>
          <w:rFonts w:ascii="Times New Roman" w:hAnsi="Times New Roman" w:cs="Times New Roman"/>
          <w:color w:val="auto"/>
          <w:sz w:val="20"/>
          <w:szCs w:val="20"/>
        </w:rPr>
        <w:t xml:space="preserve"> </w:t>
      </w:r>
      <w:r w:rsidRPr="00ED0EDA">
        <w:rPr>
          <w:rFonts w:ascii="Times New Roman" w:hAnsi="Times New Roman" w:cs="Times New Roman"/>
          <w:color w:val="auto"/>
          <w:sz w:val="20"/>
          <w:szCs w:val="20"/>
        </w:rPr>
        <w:t>на</w:t>
      </w:r>
      <w:r w:rsidRPr="005A6DD1">
        <w:rPr>
          <w:rFonts w:ascii="Times New Roman" w:hAnsi="Times New Roman" w:cs="Times New Roman"/>
          <w:color w:val="auto"/>
          <w:sz w:val="20"/>
          <w:szCs w:val="20"/>
        </w:rPr>
        <w:t xml:space="preserve">: </w:t>
      </w:r>
      <w:r w:rsidRPr="00712B5F">
        <w:rPr>
          <w:rFonts w:ascii="Times New Roman" w:hAnsi="Times New Roman" w:cs="Times New Roman"/>
          <w:color w:val="auto"/>
          <w:sz w:val="20"/>
          <w:szCs w:val="20"/>
          <w:lang w:val="en-GB"/>
        </w:rPr>
        <w:t>https</w:t>
      </w:r>
      <w:r w:rsidRPr="005A6DD1">
        <w:rPr>
          <w:rFonts w:ascii="Times New Roman" w:hAnsi="Times New Roman" w:cs="Times New Roman"/>
          <w:color w:val="auto"/>
          <w:sz w:val="20"/>
          <w:szCs w:val="20"/>
        </w:rPr>
        <w:t>://</w:t>
      </w:r>
      <w:r w:rsidRPr="00712B5F">
        <w:rPr>
          <w:rFonts w:ascii="Times New Roman" w:hAnsi="Times New Roman" w:cs="Times New Roman"/>
          <w:color w:val="auto"/>
          <w:sz w:val="20"/>
          <w:szCs w:val="20"/>
          <w:lang w:val="en-GB"/>
        </w:rPr>
        <w:t>home</w:t>
      </w:r>
      <w:r w:rsidRPr="005A6DD1">
        <w:rPr>
          <w:rFonts w:ascii="Times New Roman" w:hAnsi="Times New Roman" w:cs="Times New Roman"/>
          <w:color w:val="auto"/>
          <w:sz w:val="20"/>
          <w:szCs w:val="20"/>
        </w:rPr>
        <w:t>.</w:t>
      </w:r>
      <w:r w:rsidRPr="00712B5F">
        <w:rPr>
          <w:rFonts w:ascii="Times New Roman" w:hAnsi="Times New Roman" w:cs="Times New Roman"/>
          <w:color w:val="auto"/>
          <w:sz w:val="20"/>
          <w:szCs w:val="20"/>
          <w:lang w:val="en-GB"/>
        </w:rPr>
        <w:t>kpmg</w:t>
      </w:r>
      <w:r w:rsidRPr="005A6DD1">
        <w:rPr>
          <w:rFonts w:ascii="Times New Roman" w:hAnsi="Times New Roman" w:cs="Times New Roman"/>
          <w:color w:val="auto"/>
          <w:sz w:val="20"/>
          <w:szCs w:val="20"/>
        </w:rPr>
        <w:t>/</w:t>
      </w:r>
      <w:r w:rsidRPr="00712B5F">
        <w:rPr>
          <w:rFonts w:ascii="Times New Roman" w:hAnsi="Times New Roman" w:cs="Times New Roman"/>
          <w:color w:val="auto"/>
          <w:sz w:val="20"/>
          <w:szCs w:val="20"/>
          <w:lang w:val="en-GB"/>
        </w:rPr>
        <w:t>content</w:t>
      </w:r>
      <w:r w:rsidRPr="005A6DD1">
        <w:rPr>
          <w:rFonts w:ascii="Times New Roman" w:hAnsi="Times New Roman" w:cs="Times New Roman"/>
          <w:color w:val="auto"/>
          <w:sz w:val="20"/>
          <w:szCs w:val="20"/>
        </w:rPr>
        <w:t>/</w:t>
      </w:r>
      <w:r w:rsidRPr="00712B5F">
        <w:rPr>
          <w:rFonts w:ascii="Times New Roman" w:hAnsi="Times New Roman" w:cs="Times New Roman"/>
          <w:color w:val="auto"/>
          <w:sz w:val="20"/>
          <w:szCs w:val="20"/>
          <w:lang w:val="en-GB"/>
        </w:rPr>
        <w:t>dam</w:t>
      </w:r>
      <w:r w:rsidRPr="005A6DD1">
        <w:rPr>
          <w:rFonts w:ascii="Times New Roman" w:hAnsi="Times New Roman" w:cs="Times New Roman"/>
          <w:color w:val="auto"/>
          <w:sz w:val="20"/>
          <w:szCs w:val="20"/>
        </w:rPr>
        <w:t>/</w:t>
      </w:r>
      <w:r w:rsidRPr="00712B5F">
        <w:rPr>
          <w:rFonts w:ascii="Times New Roman" w:hAnsi="Times New Roman" w:cs="Times New Roman"/>
          <w:color w:val="auto"/>
          <w:sz w:val="20"/>
          <w:szCs w:val="20"/>
          <w:lang w:val="en-GB"/>
        </w:rPr>
        <w:t>kpmg</w:t>
      </w:r>
      <w:r w:rsidRPr="005A6DD1">
        <w:rPr>
          <w:rFonts w:ascii="Times New Roman" w:hAnsi="Times New Roman" w:cs="Times New Roman"/>
          <w:color w:val="auto"/>
          <w:sz w:val="20"/>
          <w:szCs w:val="20"/>
        </w:rPr>
        <w:t>/</w:t>
      </w:r>
      <w:r w:rsidRPr="00712B5F">
        <w:rPr>
          <w:rFonts w:ascii="Times New Roman" w:hAnsi="Times New Roman" w:cs="Times New Roman"/>
          <w:color w:val="auto"/>
          <w:sz w:val="20"/>
          <w:szCs w:val="20"/>
          <w:lang w:val="en-GB"/>
        </w:rPr>
        <w:t>xx</w:t>
      </w:r>
      <w:r w:rsidRPr="005A6DD1">
        <w:rPr>
          <w:rFonts w:ascii="Times New Roman" w:hAnsi="Times New Roman" w:cs="Times New Roman"/>
          <w:color w:val="auto"/>
          <w:sz w:val="20"/>
          <w:szCs w:val="20"/>
        </w:rPr>
        <w:t>/</w:t>
      </w:r>
      <w:r w:rsidRPr="00712B5F">
        <w:rPr>
          <w:rFonts w:ascii="Times New Roman" w:hAnsi="Times New Roman" w:cs="Times New Roman"/>
          <w:color w:val="auto"/>
          <w:sz w:val="20"/>
          <w:szCs w:val="20"/>
          <w:lang w:val="en-GB"/>
        </w:rPr>
        <w:t>pdf</w:t>
      </w:r>
      <w:r w:rsidRPr="005A6DD1">
        <w:rPr>
          <w:rFonts w:ascii="Times New Roman" w:hAnsi="Times New Roman" w:cs="Times New Roman"/>
          <w:color w:val="auto"/>
          <w:sz w:val="20"/>
          <w:szCs w:val="20"/>
        </w:rPr>
        <w:t>/2018/05/</w:t>
      </w:r>
      <w:r w:rsidRPr="00712B5F">
        <w:rPr>
          <w:rFonts w:ascii="Times New Roman" w:hAnsi="Times New Roman" w:cs="Times New Roman"/>
          <w:color w:val="auto"/>
          <w:sz w:val="20"/>
          <w:szCs w:val="20"/>
          <w:lang w:val="en-GB"/>
        </w:rPr>
        <w:t>tax</w:t>
      </w:r>
      <w:r w:rsidRPr="005A6DD1">
        <w:rPr>
          <w:rFonts w:ascii="Times New Roman" w:hAnsi="Times New Roman" w:cs="Times New Roman"/>
          <w:color w:val="auto"/>
          <w:sz w:val="20"/>
          <w:szCs w:val="20"/>
        </w:rPr>
        <w:t>-</w:t>
      </w:r>
      <w:r w:rsidRPr="00712B5F">
        <w:rPr>
          <w:rFonts w:ascii="Times New Roman" w:hAnsi="Times New Roman" w:cs="Times New Roman"/>
          <w:color w:val="auto"/>
          <w:sz w:val="20"/>
          <w:szCs w:val="20"/>
          <w:lang w:val="en-GB"/>
        </w:rPr>
        <w:t>benchmarking</w:t>
      </w:r>
      <w:r w:rsidRPr="005A6DD1">
        <w:rPr>
          <w:rFonts w:ascii="Times New Roman" w:hAnsi="Times New Roman" w:cs="Times New Roman"/>
          <w:color w:val="auto"/>
          <w:sz w:val="20"/>
          <w:szCs w:val="20"/>
        </w:rPr>
        <w:t>-</w:t>
      </w:r>
      <w:r w:rsidRPr="00712B5F">
        <w:rPr>
          <w:rFonts w:ascii="Times New Roman" w:hAnsi="Times New Roman" w:cs="Times New Roman"/>
          <w:color w:val="auto"/>
          <w:sz w:val="20"/>
          <w:szCs w:val="20"/>
          <w:lang w:val="en-GB"/>
        </w:rPr>
        <w:t>report</w:t>
      </w:r>
      <w:r w:rsidRPr="005A6DD1">
        <w:rPr>
          <w:rFonts w:ascii="Times New Roman" w:hAnsi="Times New Roman" w:cs="Times New Roman"/>
          <w:color w:val="auto"/>
          <w:sz w:val="20"/>
          <w:szCs w:val="20"/>
        </w:rPr>
        <w:t>.</w:t>
      </w:r>
      <w:r w:rsidRPr="00712B5F">
        <w:rPr>
          <w:rFonts w:ascii="Times New Roman" w:hAnsi="Times New Roman" w:cs="Times New Roman"/>
          <w:color w:val="auto"/>
          <w:sz w:val="20"/>
          <w:szCs w:val="20"/>
          <w:lang w:val="en-GB"/>
        </w:rPr>
        <w:t>pdf</w:t>
      </w:r>
      <w:r w:rsidRPr="005A6DD1">
        <w:rPr>
          <w:rFonts w:ascii="Times New Roman" w:hAnsi="Times New Roman" w:cs="Times New Roman"/>
          <w:color w:val="auto"/>
          <w:sz w:val="20"/>
          <w:szCs w:val="20"/>
        </w:rPr>
        <w:t>. [</w:t>
      </w:r>
      <w:r w:rsidRPr="00ED0EDA">
        <w:rPr>
          <w:rFonts w:ascii="Times New Roman" w:hAnsi="Times New Roman" w:cs="Times New Roman"/>
          <w:color w:val="auto"/>
          <w:sz w:val="20"/>
          <w:szCs w:val="20"/>
        </w:rPr>
        <w:t>страницата</w:t>
      </w:r>
      <w:r w:rsidRPr="005A6DD1">
        <w:rPr>
          <w:rFonts w:ascii="Times New Roman" w:hAnsi="Times New Roman" w:cs="Times New Roman"/>
          <w:color w:val="auto"/>
          <w:sz w:val="20"/>
          <w:szCs w:val="20"/>
        </w:rPr>
        <w:t xml:space="preserve"> </w:t>
      </w:r>
      <w:r w:rsidRPr="00ED0EDA">
        <w:rPr>
          <w:rFonts w:ascii="Times New Roman" w:hAnsi="Times New Roman" w:cs="Times New Roman"/>
          <w:color w:val="auto"/>
          <w:sz w:val="20"/>
          <w:szCs w:val="20"/>
        </w:rPr>
        <w:t>е</w:t>
      </w:r>
      <w:r w:rsidRPr="005A6DD1">
        <w:rPr>
          <w:rFonts w:ascii="Times New Roman" w:hAnsi="Times New Roman" w:cs="Times New Roman"/>
          <w:color w:val="auto"/>
          <w:sz w:val="20"/>
          <w:szCs w:val="20"/>
        </w:rPr>
        <w:t xml:space="preserve"> </w:t>
      </w:r>
      <w:r w:rsidRPr="00ED0EDA">
        <w:rPr>
          <w:rFonts w:ascii="Times New Roman" w:hAnsi="Times New Roman" w:cs="Times New Roman"/>
          <w:color w:val="auto"/>
          <w:sz w:val="20"/>
          <w:szCs w:val="20"/>
        </w:rPr>
        <w:t>посетена</w:t>
      </w:r>
      <w:r w:rsidRPr="005A6DD1">
        <w:rPr>
          <w:rFonts w:ascii="Times New Roman" w:hAnsi="Times New Roman" w:cs="Times New Roman"/>
          <w:color w:val="auto"/>
          <w:sz w:val="20"/>
          <w:szCs w:val="20"/>
        </w:rPr>
        <w:t xml:space="preserve"> </w:t>
      </w:r>
      <w:r w:rsidRPr="00ED0EDA">
        <w:rPr>
          <w:rFonts w:ascii="Times New Roman" w:hAnsi="Times New Roman" w:cs="Times New Roman"/>
          <w:color w:val="auto"/>
          <w:sz w:val="20"/>
          <w:szCs w:val="20"/>
        </w:rPr>
        <w:t>на</w:t>
      </w:r>
      <w:r w:rsidRPr="005A6DD1">
        <w:rPr>
          <w:rFonts w:ascii="Times New Roman" w:hAnsi="Times New Roman" w:cs="Times New Roman"/>
          <w:color w:val="auto"/>
          <w:sz w:val="20"/>
          <w:szCs w:val="20"/>
        </w:rPr>
        <w:t xml:space="preserve"> 10.03.2019 </w:t>
      </w:r>
      <w:r w:rsidRPr="00ED0EDA">
        <w:rPr>
          <w:rFonts w:ascii="Times New Roman" w:hAnsi="Times New Roman" w:cs="Times New Roman"/>
          <w:color w:val="auto"/>
          <w:sz w:val="20"/>
          <w:szCs w:val="20"/>
        </w:rPr>
        <w:t>г</w:t>
      </w:r>
      <w:r w:rsidRPr="005A6DD1">
        <w:rPr>
          <w:rFonts w:ascii="Times New Roman" w:hAnsi="Times New Roman" w:cs="Times New Roman"/>
          <w:color w:val="auto"/>
          <w:sz w:val="20"/>
          <w:szCs w:val="20"/>
        </w:rPr>
        <w:t>.].</w:t>
      </w:r>
    </w:p>
  </w:footnote>
  <w:footnote w:id="54">
    <w:p w:rsidR="005572BD" w:rsidRDefault="005572BD" w:rsidP="007807CD">
      <w:pPr>
        <w:pStyle w:val="zab"/>
        <w:spacing w:line="240" w:lineRule="auto"/>
        <w:ind w:firstLine="360"/>
      </w:pPr>
      <w:r w:rsidRPr="00ED0EDA">
        <w:rPr>
          <w:rFonts w:ascii="Times New Roman" w:hAnsi="Times New Roman" w:cs="Times New Roman"/>
          <w:color w:val="auto"/>
          <w:sz w:val="20"/>
          <w:szCs w:val="20"/>
          <w:vertAlign w:val="superscript"/>
        </w:rPr>
        <w:footnoteRef/>
      </w:r>
      <w:r w:rsidRPr="00ED0EDA">
        <w:rPr>
          <w:rFonts w:ascii="Times New Roman" w:hAnsi="Times New Roman" w:cs="Times New Roman"/>
          <w:color w:val="auto"/>
          <w:sz w:val="20"/>
          <w:szCs w:val="20"/>
        </w:rPr>
        <w:t xml:space="preserve"> Вж. в интернет страницата на ЕК, ГД „Данъчно облагане и митнически съюз“. Пряко данъчно облагане, фискална координация, икономически анализ и оценка. Политика на сътрудничество в областта на прякото данъчно облагане: https://ec.europa.eu/taxation_customs/business/tax-cooperation-control/guidelines-model-european-taxpayers-code_en [страницата е посетена на 1.03.2019 г.].</w:t>
      </w:r>
    </w:p>
  </w:footnote>
  <w:footnote w:id="55">
    <w:p w:rsidR="005572BD" w:rsidRDefault="005572BD" w:rsidP="007807CD">
      <w:pPr>
        <w:pStyle w:val="zab"/>
        <w:spacing w:line="240" w:lineRule="auto"/>
        <w:ind w:firstLine="360"/>
      </w:pPr>
      <w:r w:rsidRPr="00ED0EDA">
        <w:rPr>
          <w:rFonts w:ascii="Times New Roman" w:hAnsi="Times New Roman" w:cs="Times New Roman"/>
          <w:color w:val="auto"/>
          <w:sz w:val="20"/>
          <w:szCs w:val="20"/>
          <w:vertAlign w:val="superscript"/>
        </w:rPr>
        <w:footnoteRef/>
      </w:r>
      <w:r w:rsidRPr="00ED0EDA">
        <w:rPr>
          <w:rFonts w:ascii="Times New Roman" w:hAnsi="Times New Roman" w:cs="Times New Roman"/>
          <w:color w:val="auto"/>
          <w:sz w:val="20"/>
          <w:szCs w:val="20"/>
        </w:rPr>
        <w:t xml:space="preserve"> Вж. с. 8–11.</w:t>
      </w:r>
    </w:p>
  </w:footnote>
  <w:footnote w:id="56">
    <w:p w:rsidR="005572BD" w:rsidRDefault="005572BD" w:rsidP="007807CD">
      <w:pPr>
        <w:pStyle w:val="zab"/>
        <w:spacing w:line="240" w:lineRule="auto"/>
        <w:ind w:firstLine="360"/>
      </w:pPr>
      <w:r w:rsidRPr="00ED0EDA">
        <w:rPr>
          <w:rFonts w:ascii="Times New Roman" w:hAnsi="Times New Roman" w:cs="Times New Roman"/>
          <w:color w:val="auto"/>
          <w:sz w:val="20"/>
          <w:szCs w:val="20"/>
          <w:vertAlign w:val="superscript"/>
        </w:rPr>
        <w:footnoteRef/>
      </w:r>
      <w:r w:rsidRPr="00ED0EDA">
        <w:rPr>
          <w:rFonts w:ascii="Times New Roman" w:hAnsi="Times New Roman" w:cs="Times New Roman"/>
          <w:color w:val="auto"/>
          <w:sz w:val="20"/>
          <w:szCs w:val="20"/>
        </w:rPr>
        <w:t xml:space="preserve"> Вж. Решение от 22.11.2012 г., M. (C–277/11, EU:C:2012:744, т. 81–84), в което Съдът постановява, че принципът на зачитане на правото на защита е закрепен в чл. 41 от Хартата и че „както следва от самата є формулировка, тази разпоредба е с общо приложение“.</w:t>
      </w:r>
    </w:p>
  </w:footnote>
  <w:footnote w:id="57">
    <w:p w:rsidR="005572BD" w:rsidRDefault="005572BD" w:rsidP="007807CD">
      <w:pPr>
        <w:pStyle w:val="zab"/>
        <w:spacing w:line="240" w:lineRule="auto"/>
        <w:ind w:firstLine="360"/>
      </w:pPr>
      <w:r w:rsidRPr="00ED0EDA">
        <w:rPr>
          <w:rFonts w:ascii="Times New Roman" w:hAnsi="Times New Roman" w:cs="Times New Roman"/>
          <w:color w:val="auto"/>
          <w:sz w:val="20"/>
          <w:szCs w:val="20"/>
          <w:vertAlign w:val="superscript"/>
        </w:rPr>
        <w:footnoteRef/>
      </w:r>
      <w:r w:rsidRPr="00ED0EDA">
        <w:rPr>
          <w:rFonts w:ascii="Times New Roman" w:hAnsi="Times New Roman" w:cs="Times New Roman"/>
          <w:color w:val="auto"/>
          <w:sz w:val="20"/>
          <w:szCs w:val="20"/>
          <w:lang w:val="bg-BG"/>
        </w:rPr>
        <w:t xml:space="preserve"> Вж. Решения от 21.12.2011 г., </w:t>
      </w:r>
      <w:r w:rsidRPr="00ED0EDA">
        <w:rPr>
          <w:rFonts w:ascii="Times New Roman" w:hAnsi="Times New Roman" w:cs="Times New Roman"/>
          <w:i/>
          <w:iCs/>
          <w:color w:val="auto"/>
          <w:sz w:val="20"/>
          <w:szCs w:val="20"/>
          <w:lang w:val="bg-BG"/>
        </w:rPr>
        <w:t>Cicala</w:t>
      </w:r>
      <w:r w:rsidRPr="00ED0EDA">
        <w:rPr>
          <w:rFonts w:ascii="Times New Roman" w:hAnsi="Times New Roman" w:cs="Times New Roman"/>
          <w:color w:val="auto"/>
          <w:sz w:val="20"/>
          <w:szCs w:val="20"/>
          <w:lang w:val="bg-BG"/>
        </w:rPr>
        <w:t xml:space="preserve"> (C–482/10, EU:C:2011:868, т. 28); от 17.07.2014 г., </w:t>
      </w:r>
      <w:r w:rsidRPr="00ED0EDA">
        <w:rPr>
          <w:rFonts w:ascii="Times New Roman" w:hAnsi="Times New Roman" w:cs="Times New Roman"/>
          <w:i/>
          <w:iCs/>
          <w:color w:val="auto"/>
          <w:sz w:val="20"/>
          <w:szCs w:val="20"/>
          <w:lang w:val="bg-BG"/>
        </w:rPr>
        <w:t>YS и др.</w:t>
      </w:r>
      <w:r w:rsidRPr="00ED0EDA">
        <w:rPr>
          <w:rFonts w:ascii="Times New Roman" w:hAnsi="Times New Roman" w:cs="Times New Roman"/>
          <w:color w:val="auto"/>
          <w:sz w:val="20"/>
          <w:szCs w:val="20"/>
          <w:lang w:val="bg-BG"/>
        </w:rPr>
        <w:t xml:space="preserve"> (C–141/12 и C–372/12, EU:C:2014:2081, т. 67); от 5.11.2014 г., </w:t>
      </w:r>
      <w:r w:rsidRPr="00ED0EDA">
        <w:rPr>
          <w:rFonts w:ascii="Times New Roman" w:hAnsi="Times New Roman" w:cs="Times New Roman"/>
          <w:i/>
          <w:iCs/>
          <w:color w:val="auto"/>
          <w:sz w:val="20"/>
          <w:szCs w:val="20"/>
          <w:lang w:val="bg-BG"/>
        </w:rPr>
        <w:t>Mukarubega</w:t>
      </w:r>
      <w:r w:rsidRPr="00ED0EDA">
        <w:rPr>
          <w:rFonts w:ascii="Times New Roman" w:hAnsi="Times New Roman" w:cs="Times New Roman"/>
          <w:color w:val="auto"/>
          <w:sz w:val="20"/>
          <w:szCs w:val="20"/>
          <w:lang w:val="bg-BG"/>
        </w:rPr>
        <w:t xml:space="preserve"> (C–166/13, EU:C:2014:2336, т. 44); от 17.12.2015 г., </w:t>
      </w:r>
      <w:r w:rsidRPr="00ED0EDA">
        <w:rPr>
          <w:rFonts w:ascii="Times New Roman" w:hAnsi="Times New Roman" w:cs="Times New Roman"/>
          <w:i/>
          <w:iCs/>
          <w:color w:val="auto"/>
          <w:sz w:val="20"/>
          <w:szCs w:val="20"/>
          <w:lang w:val="bg-BG"/>
        </w:rPr>
        <w:t>WebMindLicenses</w:t>
      </w:r>
      <w:r w:rsidRPr="00ED0EDA">
        <w:rPr>
          <w:rFonts w:ascii="Times New Roman" w:hAnsi="Times New Roman" w:cs="Times New Roman"/>
          <w:color w:val="auto"/>
          <w:sz w:val="20"/>
          <w:szCs w:val="20"/>
          <w:lang w:val="bg-BG"/>
        </w:rPr>
        <w:t xml:space="preserve"> (C–419/14, EU:C:2015:832, т. 83), и от 9.03.2017 г., </w:t>
      </w:r>
      <w:r w:rsidRPr="00ED0EDA">
        <w:rPr>
          <w:rFonts w:ascii="Times New Roman" w:hAnsi="Times New Roman" w:cs="Times New Roman"/>
          <w:i/>
          <w:iCs/>
          <w:color w:val="auto"/>
          <w:sz w:val="20"/>
          <w:szCs w:val="20"/>
          <w:lang w:val="bg-BG"/>
        </w:rPr>
        <w:t>Doux</w:t>
      </w:r>
      <w:r w:rsidRPr="00ED0EDA">
        <w:rPr>
          <w:rFonts w:ascii="Times New Roman" w:hAnsi="Times New Roman" w:cs="Times New Roman"/>
          <w:color w:val="auto"/>
          <w:sz w:val="20"/>
          <w:szCs w:val="20"/>
          <w:lang w:val="bg-BG"/>
        </w:rPr>
        <w:t xml:space="preserve"> (C–141/15, EU:C:2017:188, т. 60).</w:t>
      </w:r>
    </w:p>
  </w:footnote>
  <w:footnote w:id="58">
    <w:p w:rsidR="005572BD" w:rsidRDefault="005572BD" w:rsidP="007807CD">
      <w:pPr>
        <w:pStyle w:val="zab"/>
        <w:spacing w:line="240" w:lineRule="auto"/>
        <w:ind w:firstLine="360"/>
      </w:pPr>
      <w:r w:rsidRPr="00ED0EDA">
        <w:rPr>
          <w:rFonts w:ascii="Times New Roman" w:hAnsi="Times New Roman" w:cs="Times New Roman"/>
          <w:color w:val="auto"/>
          <w:sz w:val="20"/>
          <w:szCs w:val="20"/>
          <w:vertAlign w:val="superscript"/>
        </w:rPr>
        <w:footnoteRef/>
      </w:r>
      <w:r w:rsidRPr="00ED0EDA">
        <w:rPr>
          <w:rFonts w:ascii="Times New Roman" w:hAnsi="Times New Roman" w:cs="Times New Roman"/>
          <w:color w:val="auto"/>
          <w:sz w:val="20"/>
          <w:szCs w:val="20"/>
          <w:lang w:val="bg-BG"/>
        </w:rPr>
        <w:t xml:space="preserve"> Вж. заключението на генералния адвокат Wathelet по дело </w:t>
      </w:r>
      <w:r w:rsidRPr="00ED0EDA">
        <w:rPr>
          <w:rFonts w:ascii="Times New Roman" w:hAnsi="Times New Roman" w:cs="Times New Roman"/>
          <w:i/>
          <w:iCs/>
          <w:color w:val="auto"/>
          <w:sz w:val="20"/>
          <w:szCs w:val="20"/>
          <w:lang w:val="bg-BG"/>
        </w:rPr>
        <w:t>Boudjlida</w:t>
      </w:r>
      <w:r w:rsidRPr="00ED0EDA">
        <w:rPr>
          <w:rFonts w:ascii="Times New Roman" w:hAnsi="Times New Roman" w:cs="Times New Roman"/>
          <w:color w:val="auto"/>
          <w:sz w:val="20"/>
          <w:szCs w:val="20"/>
          <w:lang w:val="bg-BG"/>
        </w:rPr>
        <w:t xml:space="preserve"> (C–249/13, EU:C:2014:2032, т. 47), който посочва следното: „[с]поред мен не би било логично, нито пък в съответствие с практиката на Съда, да може по този начин с текста на член 41 от Хартата да се въведе изключение от правилото, установено в чл. 51 от нея, което да позволи на държавите членки да не прилагат един член от Хартата, дори при прилагане на правото на Съюза. В допълнение ще отбележа, че определено застъпвам позицията, че чл. 41 от Хартата е приложим за държавите членки, когато прилагат правото на Съюза [...]“. По този въпрос вж. също заключенията на генералния адвокат Mengozzi по дело </w:t>
      </w:r>
      <w:r w:rsidRPr="00ED0EDA">
        <w:rPr>
          <w:rFonts w:ascii="Times New Roman" w:hAnsi="Times New Roman" w:cs="Times New Roman"/>
          <w:i/>
          <w:iCs/>
          <w:color w:val="auto"/>
          <w:sz w:val="20"/>
          <w:szCs w:val="20"/>
          <w:lang w:val="bg-BG"/>
        </w:rPr>
        <w:t>Bensada Benallal</w:t>
      </w:r>
      <w:r w:rsidRPr="00ED0EDA">
        <w:rPr>
          <w:rFonts w:ascii="Times New Roman" w:hAnsi="Times New Roman" w:cs="Times New Roman"/>
          <w:color w:val="auto"/>
          <w:sz w:val="20"/>
          <w:szCs w:val="20"/>
          <w:lang w:val="bg-BG"/>
        </w:rPr>
        <w:t xml:space="preserve"> (C–161/15, EU:C:2016:3, т. 28–32) и по дело </w:t>
      </w:r>
      <w:r w:rsidRPr="00ED0EDA">
        <w:rPr>
          <w:rFonts w:ascii="Times New Roman" w:hAnsi="Times New Roman" w:cs="Times New Roman"/>
          <w:i/>
          <w:iCs/>
          <w:color w:val="auto"/>
          <w:sz w:val="20"/>
          <w:szCs w:val="20"/>
          <w:lang w:val="bg-BG"/>
        </w:rPr>
        <w:t>M</w:t>
      </w:r>
      <w:r w:rsidRPr="00ED0EDA">
        <w:rPr>
          <w:rFonts w:ascii="Times New Roman" w:hAnsi="Times New Roman" w:cs="Times New Roman"/>
          <w:color w:val="auto"/>
          <w:sz w:val="20"/>
          <w:szCs w:val="20"/>
          <w:lang w:val="bg-BG"/>
        </w:rPr>
        <w:t xml:space="preserve"> (C–560/14, EU:C:2016:320, т. 27), и на генералния адвокат Bot по дело </w:t>
      </w:r>
      <w:r w:rsidRPr="00ED0EDA">
        <w:rPr>
          <w:rFonts w:ascii="Times New Roman" w:hAnsi="Times New Roman" w:cs="Times New Roman"/>
          <w:i/>
          <w:iCs/>
          <w:color w:val="auto"/>
          <w:sz w:val="20"/>
          <w:szCs w:val="20"/>
          <w:lang w:val="bg-BG"/>
        </w:rPr>
        <w:t>N.</w:t>
      </w:r>
      <w:r w:rsidRPr="00ED0EDA">
        <w:rPr>
          <w:rFonts w:ascii="Times New Roman" w:hAnsi="Times New Roman" w:cs="Times New Roman"/>
          <w:color w:val="auto"/>
          <w:sz w:val="20"/>
          <w:szCs w:val="20"/>
          <w:lang w:val="bg-BG"/>
        </w:rPr>
        <w:t xml:space="preserve"> (C–604/12, EU:C:2013:714, т. 36).</w:t>
      </w:r>
    </w:p>
  </w:footnote>
  <w:footnote w:id="59">
    <w:p w:rsidR="005572BD" w:rsidRDefault="005572BD" w:rsidP="00564D22">
      <w:pPr>
        <w:shd w:val="clear" w:color="auto" w:fill="FEFEFE"/>
        <w:ind w:firstLine="360"/>
        <w:jc w:val="both"/>
      </w:pPr>
      <w:r>
        <w:rPr>
          <w:rStyle w:val="FootnoteReference"/>
        </w:rPr>
        <w:footnoteRef/>
      </w:r>
      <w:r w:rsidRPr="005A6DD1">
        <w:rPr>
          <w:rFonts w:ascii="Times New Roman" w:hAnsi="Times New Roman"/>
          <w:sz w:val="20"/>
          <w:szCs w:val="20"/>
          <w:lang w:val="ru-RU"/>
        </w:rPr>
        <w:t xml:space="preserve">§ 1, т.1 </w:t>
      </w:r>
      <w:r w:rsidRPr="00D1146D">
        <w:rPr>
          <w:rFonts w:ascii="Times New Roman" w:hAnsi="Times New Roman"/>
          <w:sz w:val="20"/>
          <w:szCs w:val="20"/>
        </w:rPr>
        <w:t xml:space="preserve">ДР АПК:  </w:t>
      </w:r>
      <w:r w:rsidRPr="005A6DD1">
        <w:rPr>
          <w:rFonts w:ascii="Times New Roman" w:hAnsi="Times New Roman"/>
          <w:sz w:val="20"/>
          <w:szCs w:val="20"/>
          <w:lang w:val="ru-RU"/>
        </w:rPr>
        <w:t>"Административен орган" е органът, който принадлежи към системата на изпълнителната власт, както и всеки носител на административни правомощия, овластен въз основа на закон, включително лицата, осъществяващи публични функции, и организациите, предоставящи обществени услуги.</w:t>
      </w:r>
    </w:p>
  </w:footnote>
  <w:footnote w:id="60">
    <w:p w:rsidR="005572BD" w:rsidRDefault="005572BD" w:rsidP="007807CD">
      <w:pPr>
        <w:pStyle w:val="zab"/>
        <w:spacing w:line="240" w:lineRule="auto"/>
        <w:ind w:firstLine="360"/>
      </w:pPr>
      <w:r w:rsidRPr="00ED0EDA">
        <w:rPr>
          <w:rFonts w:ascii="Times New Roman" w:hAnsi="Times New Roman" w:cs="Times New Roman"/>
          <w:color w:val="auto"/>
          <w:sz w:val="20"/>
          <w:szCs w:val="20"/>
          <w:vertAlign w:val="superscript"/>
        </w:rPr>
        <w:footnoteRef/>
      </w:r>
      <w:r w:rsidRPr="00ED0EDA">
        <w:rPr>
          <w:rFonts w:ascii="Times New Roman" w:hAnsi="Times New Roman" w:cs="Times New Roman"/>
          <w:color w:val="auto"/>
          <w:sz w:val="20"/>
          <w:szCs w:val="20"/>
          <w:lang w:val="bg-BG"/>
        </w:rPr>
        <w:t xml:space="preserve"> Съюзът има изключителна компетентност в тази област съгласно чл. 3, ал. 1 т., б. „б“ </w:t>
      </w:r>
      <w:r>
        <w:rPr>
          <w:rFonts w:ascii="Times New Roman" w:hAnsi="Times New Roman" w:cs="Times New Roman"/>
          <w:color w:val="auto"/>
          <w:sz w:val="20"/>
          <w:szCs w:val="20"/>
          <w:lang w:val="bg-BG"/>
        </w:rPr>
        <w:t>ДФЕС У</w:t>
      </w:r>
      <w:r w:rsidRPr="00ED0EDA">
        <w:rPr>
          <w:rFonts w:ascii="Times New Roman" w:hAnsi="Times New Roman" w:cs="Times New Roman"/>
          <w:color w:val="auto"/>
          <w:sz w:val="20"/>
          <w:szCs w:val="20"/>
          <w:lang w:val="bg-BG"/>
        </w:rPr>
        <w:t>становяване на правила относно конкуренцията, необходими за функциониране на вътрешния пазар</w:t>
      </w:r>
      <w:r w:rsidRPr="00ED0EDA">
        <w:rPr>
          <w:rFonts w:ascii="Times New Roman" w:hAnsi="Times New Roman" w:cs="Times New Roman"/>
          <w:b/>
          <w:bCs/>
          <w:color w:val="auto"/>
          <w:sz w:val="20"/>
          <w:szCs w:val="20"/>
          <w:lang w:val="bg-BG"/>
        </w:rPr>
        <w:t xml:space="preserve"> вж. Стойнев, И.</w:t>
      </w:r>
      <w:r w:rsidRPr="00ED0EDA">
        <w:rPr>
          <w:rFonts w:ascii="Times New Roman" w:hAnsi="Times New Roman" w:cs="Times New Roman"/>
          <w:color w:val="auto"/>
          <w:sz w:val="20"/>
          <w:szCs w:val="20"/>
          <w:lang w:val="bg-BG"/>
        </w:rPr>
        <w:t xml:space="preserve"> Правен режим за защита на конкуренцията в ЕС. Том I. Антикартелно право. С., Сиела, 2018.</w:t>
      </w:r>
    </w:p>
  </w:footnote>
  <w:footnote w:id="61">
    <w:p w:rsidR="005572BD" w:rsidRDefault="005572BD" w:rsidP="007807CD">
      <w:pPr>
        <w:pStyle w:val="zab"/>
        <w:spacing w:line="240" w:lineRule="auto"/>
        <w:ind w:firstLine="360"/>
      </w:pPr>
      <w:r w:rsidRPr="00ED0EDA">
        <w:rPr>
          <w:rFonts w:ascii="Times New Roman" w:hAnsi="Times New Roman" w:cs="Times New Roman"/>
          <w:color w:val="auto"/>
          <w:sz w:val="20"/>
          <w:szCs w:val="20"/>
          <w:vertAlign w:val="superscript"/>
        </w:rPr>
        <w:footnoteRef/>
      </w:r>
      <w:r w:rsidRPr="00ED0EDA">
        <w:rPr>
          <w:rFonts w:ascii="Times New Roman" w:hAnsi="Times New Roman" w:cs="Times New Roman"/>
          <w:color w:val="auto"/>
          <w:sz w:val="20"/>
          <w:szCs w:val="20"/>
        </w:rPr>
        <w:t xml:space="preserve"> Вж. някои виждания досежно държавните помощи и обществените поръчки:</w:t>
      </w:r>
      <w:r w:rsidRPr="00ED0EDA">
        <w:rPr>
          <w:rFonts w:ascii="Times New Roman" w:hAnsi="Times New Roman" w:cs="Times New Roman"/>
          <w:b/>
          <w:bCs/>
          <w:color w:val="auto"/>
          <w:sz w:val="20"/>
          <w:szCs w:val="20"/>
        </w:rPr>
        <w:t xml:space="preserve"> Сивков, Ц.,</w:t>
      </w:r>
      <w:r>
        <w:rPr>
          <w:rFonts w:ascii="Times New Roman" w:hAnsi="Times New Roman" w:cs="Times New Roman"/>
          <w:b/>
          <w:bCs/>
          <w:color w:val="auto"/>
          <w:sz w:val="20"/>
          <w:szCs w:val="20"/>
        </w:rPr>
        <w:t xml:space="preserve"> </w:t>
      </w:r>
      <w:r w:rsidRPr="00ED0EDA">
        <w:rPr>
          <w:rFonts w:ascii="Times New Roman" w:hAnsi="Times New Roman" w:cs="Times New Roman"/>
          <w:b/>
          <w:bCs/>
          <w:color w:val="auto"/>
          <w:sz w:val="20"/>
          <w:szCs w:val="20"/>
        </w:rPr>
        <w:t xml:space="preserve">Св. Янкулова, Д. Зиновиева, Г. Чернева, Г. Димитров, К. Милчева, Е. Панайотова, Р. Николова. </w:t>
      </w:r>
      <w:r w:rsidRPr="00ED0EDA">
        <w:rPr>
          <w:rFonts w:ascii="Times New Roman" w:hAnsi="Times New Roman" w:cs="Times New Roman"/>
          <w:color w:val="auto"/>
          <w:sz w:val="20"/>
          <w:szCs w:val="20"/>
        </w:rPr>
        <w:t>Административно право. Специална част. Курс лекции. С., Сиби, 2015.​</w:t>
      </w:r>
    </w:p>
  </w:footnote>
  <w:footnote w:id="62">
    <w:p w:rsidR="005572BD" w:rsidRDefault="005572BD" w:rsidP="007807CD">
      <w:pPr>
        <w:pStyle w:val="zab"/>
        <w:spacing w:line="240" w:lineRule="auto"/>
        <w:ind w:firstLine="360"/>
      </w:pPr>
      <w:r w:rsidRPr="00ED0EDA">
        <w:rPr>
          <w:rFonts w:ascii="Times New Roman" w:hAnsi="Times New Roman" w:cs="Times New Roman"/>
          <w:color w:val="auto"/>
          <w:sz w:val="20"/>
          <w:szCs w:val="20"/>
          <w:vertAlign w:val="superscript"/>
        </w:rPr>
        <w:footnoteRef/>
      </w:r>
      <w:r w:rsidRPr="00ED0EDA">
        <w:rPr>
          <w:rFonts w:ascii="Times New Roman" w:hAnsi="Times New Roman" w:cs="Times New Roman"/>
          <w:color w:val="auto"/>
          <w:sz w:val="20"/>
          <w:szCs w:val="20"/>
        </w:rPr>
        <w:t xml:space="preserve"> Споделено управление. Виж </w:t>
      </w:r>
      <w:r w:rsidRPr="00ED0EDA">
        <w:rPr>
          <w:rFonts w:ascii="Times New Roman" w:hAnsi="Times New Roman" w:cs="Times New Roman"/>
          <w:color w:val="auto"/>
          <w:sz w:val="20"/>
          <w:szCs w:val="20"/>
          <w:lang w:val="bg-BG"/>
        </w:rPr>
        <w:t>ЗУСЕСИФ</w:t>
      </w:r>
      <w:r>
        <w:rPr>
          <w:rFonts w:ascii="Times New Roman" w:hAnsi="Times New Roman" w:cs="Times New Roman"/>
          <w:color w:val="auto"/>
          <w:sz w:val="20"/>
          <w:szCs w:val="20"/>
        </w:rPr>
        <w:t xml:space="preserve"> и З</w:t>
      </w:r>
      <w:r w:rsidRPr="00ED0EDA">
        <w:rPr>
          <w:rFonts w:ascii="Times New Roman" w:hAnsi="Times New Roman" w:cs="Times New Roman"/>
          <w:color w:val="auto"/>
          <w:sz w:val="20"/>
          <w:szCs w:val="20"/>
        </w:rPr>
        <w:t>акона за подпомагане на земеделските производители.</w:t>
      </w:r>
    </w:p>
  </w:footnote>
  <w:footnote w:id="63">
    <w:p w:rsidR="005572BD" w:rsidRPr="00ED0EDA" w:rsidRDefault="005572BD" w:rsidP="007807CD">
      <w:pPr>
        <w:pStyle w:val="zab"/>
        <w:spacing w:line="240" w:lineRule="auto"/>
        <w:ind w:firstLine="360"/>
        <w:rPr>
          <w:rFonts w:ascii="Times New Roman" w:hAnsi="Times New Roman" w:cs="Times New Roman"/>
          <w:color w:val="auto"/>
          <w:spacing w:val="2"/>
          <w:sz w:val="20"/>
          <w:szCs w:val="20"/>
        </w:rPr>
      </w:pPr>
      <w:r w:rsidRPr="00ED0EDA">
        <w:rPr>
          <w:rFonts w:ascii="Times New Roman" w:hAnsi="Times New Roman" w:cs="Times New Roman"/>
          <w:color w:val="auto"/>
          <w:sz w:val="20"/>
          <w:szCs w:val="20"/>
          <w:vertAlign w:val="superscript"/>
        </w:rPr>
        <w:footnoteRef/>
      </w:r>
      <w:r w:rsidRPr="00ED0EDA">
        <w:rPr>
          <w:rFonts w:ascii="Times New Roman" w:hAnsi="Times New Roman" w:cs="Times New Roman"/>
          <w:color w:val="auto"/>
          <w:sz w:val="20"/>
          <w:szCs w:val="20"/>
        </w:rPr>
        <w:t xml:space="preserve"> С</w:t>
      </w:r>
      <w:r w:rsidRPr="00ED0EDA">
        <w:rPr>
          <w:rFonts w:ascii="Times New Roman" w:hAnsi="Times New Roman" w:cs="Times New Roman"/>
          <w:color w:val="auto"/>
          <w:spacing w:val="2"/>
          <w:sz w:val="20"/>
          <w:szCs w:val="20"/>
        </w:rPr>
        <w:t>ъюзът разполага с изключителна компетентност съ</w:t>
      </w:r>
      <w:r>
        <w:rPr>
          <w:rFonts w:ascii="Times New Roman" w:hAnsi="Times New Roman" w:cs="Times New Roman"/>
          <w:color w:val="auto"/>
          <w:spacing w:val="2"/>
          <w:sz w:val="20"/>
          <w:szCs w:val="20"/>
        </w:rPr>
        <w:t>гласно чл. 3, § 1, б. „в“ ДФЕС П</w:t>
      </w:r>
      <w:r w:rsidRPr="00ED0EDA">
        <w:rPr>
          <w:rFonts w:ascii="Times New Roman" w:hAnsi="Times New Roman" w:cs="Times New Roman"/>
          <w:color w:val="auto"/>
          <w:spacing w:val="2"/>
          <w:sz w:val="20"/>
          <w:szCs w:val="20"/>
        </w:rPr>
        <w:t>арична политика на държавите членки, чиято парична единица е еврото.</w:t>
      </w:r>
    </w:p>
    <w:p w:rsidR="005572BD" w:rsidRDefault="005572BD" w:rsidP="007807CD">
      <w:pPr>
        <w:pStyle w:val="zab"/>
        <w:spacing w:line="240" w:lineRule="auto"/>
        <w:ind w:firstLine="360"/>
      </w:pPr>
    </w:p>
  </w:footnote>
  <w:footnote w:id="64">
    <w:p w:rsidR="005572BD" w:rsidRDefault="005572BD" w:rsidP="007807CD">
      <w:pPr>
        <w:pStyle w:val="zab"/>
        <w:spacing w:line="240" w:lineRule="auto"/>
        <w:ind w:firstLine="360"/>
      </w:pPr>
      <w:r w:rsidRPr="00ED0EDA">
        <w:rPr>
          <w:rFonts w:ascii="Times New Roman" w:hAnsi="Times New Roman" w:cs="Times New Roman"/>
          <w:color w:val="auto"/>
          <w:sz w:val="20"/>
          <w:szCs w:val="20"/>
          <w:vertAlign w:val="superscript"/>
        </w:rPr>
        <w:footnoteRef/>
      </w:r>
      <w:r w:rsidRPr="00ED0EDA">
        <w:rPr>
          <w:rFonts w:ascii="Times New Roman" w:hAnsi="Times New Roman" w:cs="Times New Roman"/>
          <w:color w:val="auto"/>
          <w:sz w:val="20"/>
          <w:szCs w:val="20"/>
        </w:rPr>
        <w:t xml:space="preserve"> Вж. досежно помощния орган Решение № 1150/25.01.2018 г. по адм.</w:t>
      </w:r>
      <w:r>
        <w:rPr>
          <w:rFonts w:ascii="Times New Roman" w:hAnsi="Times New Roman" w:cs="Times New Roman"/>
          <w:color w:val="auto"/>
          <w:sz w:val="20"/>
          <w:szCs w:val="20"/>
          <w:lang w:val="bg-BG"/>
        </w:rPr>
        <w:t xml:space="preserve"> </w:t>
      </w:r>
      <w:r w:rsidRPr="00ED0EDA">
        <w:rPr>
          <w:rFonts w:ascii="Times New Roman" w:hAnsi="Times New Roman" w:cs="Times New Roman"/>
          <w:color w:val="auto"/>
          <w:sz w:val="20"/>
          <w:szCs w:val="20"/>
        </w:rPr>
        <w:t>д. № 1279</w:t>
      </w:r>
      <w:r w:rsidRPr="00ED0EDA">
        <w:rPr>
          <w:rFonts w:ascii="Times New Roman" w:hAnsi="Times New Roman" w:cs="Times New Roman"/>
          <w:color w:val="auto"/>
          <w:spacing w:val="-2"/>
          <w:sz w:val="20"/>
          <w:szCs w:val="20"/>
        </w:rPr>
        <w:t>2/2017 г., VII отд., ВАС; Решение № 2905 от 30.04.2018 г. на АССГ по а</w:t>
      </w:r>
      <w:r>
        <w:rPr>
          <w:rFonts w:ascii="Times New Roman" w:hAnsi="Times New Roman" w:cs="Times New Roman"/>
          <w:color w:val="auto"/>
          <w:spacing w:val="-2"/>
          <w:sz w:val="20"/>
          <w:szCs w:val="20"/>
          <w:lang w:val="bg-BG"/>
        </w:rPr>
        <w:t>дм</w:t>
      </w:r>
      <w:r w:rsidRPr="00ED0EDA">
        <w:rPr>
          <w:rFonts w:ascii="Times New Roman" w:hAnsi="Times New Roman" w:cs="Times New Roman"/>
          <w:color w:val="auto"/>
          <w:spacing w:val="-2"/>
          <w:sz w:val="20"/>
          <w:szCs w:val="20"/>
        </w:rPr>
        <w:t>.</w:t>
      </w:r>
      <w:r>
        <w:rPr>
          <w:rFonts w:ascii="Times New Roman" w:hAnsi="Times New Roman" w:cs="Times New Roman"/>
          <w:color w:val="auto"/>
          <w:spacing w:val="-2"/>
          <w:sz w:val="20"/>
          <w:szCs w:val="20"/>
          <w:lang w:val="bg-BG"/>
        </w:rPr>
        <w:t xml:space="preserve"> </w:t>
      </w:r>
      <w:r w:rsidRPr="00ED0EDA">
        <w:rPr>
          <w:rFonts w:ascii="Times New Roman" w:hAnsi="Times New Roman" w:cs="Times New Roman"/>
          <w:color w:val="auto"/>
          <w:spacing w:val="-2"/>
          <w:sz w:val="20"/>
          <w:szCs w:val="20"/>
        </w:rPr>
        <w:t>д. № 4917/2017 г., потвърдено с Решение № 929/23.01.2019 г. по адм.</w:t>
      </w:r>
      <w:r>
        <w:rPr>
          <w:rFonts w:ascii="Times New Roman" w:hAnsi="Times New Roman" w:cs="Times New Roman"/>
          <w:color w:val="auto"/>
          <w:spacing w:val="-2"/>
          <w:sz w:val="20"/>
          <w:szCs w:val="20"/>
          <w:lang w:val="bg-BG"/>
        </w:rPr>
        <w:t xml:space="preserve"> </w:t>
      </w:r>
      <w:r w:rsidRPr="00ED0EDA">
        <w:rPr>
          <w:rFonts w:ascii="Times New Roman" w:hAnsi="Times New Roman" w:cs="Times New Roman"/>
          <w:color w:val="auto"/>
          <w:spacing w:val="-2"/>
          <w:sz w:val="20"/>
          <w:szCs w:val="20"/>
        </w:rPr>
        <w:t xml:space="preserve">д. № 7630/2018 г., </w:t>
      </w:r>
      <w:r w:rsidRPr="00ED0EDA">
        <w:rPr>
          <w:rFonts w:ascii="Times New Roman" w:hAnsi="Times New Roman" w:cs="Times New Roman"/>
          <w:color w:val="auto"/>
          <w:sz w:val="20"/>
          <w:szCs w:val="20"/>
        </w:rPr>
        <w:t>VII отд., ВАС; Решение № 469 от 21.01.2019 г. на АССГ по а.д. № 2921/2018 г. и Решение 2898/25.04.2019 г. по а</w:t>
      </w:r>
      <w:r>
        <w:rPr>
          <w:rFonts w:ascii="Times New Roman" w:hAnsi="Times New Roman" w:cs="Times New Roman"/>
          <w:color w:val="auto"/>
          <w:sz w:val="20"/>
          <w:szCs w:val="20"/>
          <w:lang w:val="bg-BG"/>
        </w:rPr>
        <w:t>дм</w:t>
      </w:r>
      <w:r w:rsidRPr="00ED0EDA">
        <w:rPr>
          <w:rFonts w:ascii="Times New Roman" w:hAnsi="Times New Roman" w:cs="Times New Roman"/>
          <w:color w:val="auto"/>
          <w:sz w:val="20"/>
          <w:szCs w:val="20"/>
        </w:rPr>
        <w:t>.</w:t>
      </w:r>
      <w:r>
        <w:rPr>
          <w:rFonts w:ascii="Times New Roman" w:hAnsi="Times New Roman" w:cs="Times New Roman"/>
          <w:color w:val="auto"/>
          <w:sz w:val="20"/>
          <w:szCs w:val="20"/>
          <w:lang w:val="bg-BG"/>
        </w:rPr>
        <w:t xml:space="preserve"> </w:t>
      </w:r>
      <w:r w:rsidRPr="00ED0EDA">
        <w:rPr>
          <w:rFonts w:ascii="Times New Roman" w:hAnsi="Times New Roman" w:cs="Times New Roman"/>
          <w:color w:val="auto"/>
          <w:sz w:val="20"/>
          <w:szCs w:val="20"/>
        </w:rPr>
        <w:t xml:space="preserve">д. № 2424 2019 г. 3 отд., 8 с-в. </w:t>
      </w:r>
    </w:p>
  </w:footnote>
  <w:footnote w:id="65">
    <w:p w:rsidR="005572BD" w:rsidRDefault="005572BD" w:rsidP="007807CD">
      <w:pPr>
        <w:pStyle w:val="zab"/>
        <w:spacing w:line="240" w:lineRule="auto"/>
        <w:ind w:firstLine="360"/>
      </w:pPr>
      <w:r w:rsidRPr="00ED0EDA">
        <w:rPr>
          <w:rFonts w:ascii="Times New Roman" w:hAnsi="Times New Roman" w:cs="Times New Roman"/>
          <w:color w:val="auto"/>
          <w:sz w:val="20"/>
          <w:szCs w:val="20"/>
          <w:vertAlign w:val="superscript"/>
        </w:rPr>
        <w:footnoteRef/>
      </w:r>
      <w:r w:rsidRPr="00ED0EDA">
        <w:rPr>
          <w:rFonts w:ascii="Times New Roman" w:hAnsi="Times New Roman" w:cs="Times New Roman"/>
          <w:color w:val="auto"/>
          <w:sz w:val="20"/>
          <w:szCs w:val="20"/>
        </w:rPr>
        <w:t xml:space="preserve"> Това се отнася и </w:t>
      </w:r>
      <w:r>
        <w:rPr>
          <w:rFonts w:ascii="Times New Roman" w:hAnsi="Times New Roman" w:cs="Times New Roman"/>
          <w:color w:val="auto"/>
          <w:sz w:val="20"/>
          <w:szCs w:val="20"/>
        </w:rPr>
        <w:t xml:space="preserve">до данъчния ревизионен акт и </w:t>
      </w:r>
      <w:r w:rsidRPr="00ED0EDA">
        <w:rPr>
          <w:rFonts w:ascii="Times New Roman" w:hAnsi="Times New Roman" w:cs="Times New Roman"/>
          <w:color w:val="auto"/>
          <w:sz w:val="20"/>
          <w:szCs w:val="20"/>
        </w:rPr>
        <w:t xml:space="preserve">всеки друг акт на административен орган или на БНБ и КФН. </w:t>
      </w:r>
    </w:p>
  </w:footnote>
  <w:footnote w:id="66">
    <w:p w:rsidR="005572BD" w:rsidRDefault="005572BD" w:rsidP="007807CD">
      <w:pPr>
        <w:pStyle w:val="zab"/>
        <w:spacing w:line="240" w:lineRule="auto"/>
        <w:ind w:firstLine="360"/>
      </w:pPr>
      <w:r w:rsidRPr="00ED0EDA">
        <w:rPr>
          <w:rFonts w:ascii="Times New Roman" w:hAnsi="Times New Roman" w:cs="Times New Roman"/>
          <w:color w:val="auto"/>
          <w:sz w:val="20"/>
          <w:szCs w:val="20"/>
          <w:vertAlign w:val="superscript"/>
        </w:rPr>
        <w:footnoteRef/>
      </w:r>
      <w:r w:rsidRPr="00ED0EDA">
        <w:rPr>
          <w:rFonts w:ascii="Times New Roman" w:hAnsi="Times New Roman" w:cs="Times New Roman"/>
          <w:color w:val="auto"/>
          <w:sz w:val="20"/>
          <w:szCs w:val="20"/>
          <w:lang w:val="bg-BG"/>
        </w:rPr>
        <w:t xml:space="preserve"> Виж и </w:t>
      </w:r>
      <w:r w:rsidRPr="00ED0EDA">
        <w:rPr>
          <w:rFonts w:ascii="Times New Roman" w:hAnsi="Times New Roman" w:cs="Times New Roman"/>
          <w:b/>
          <w:bCs/>
          <w:color w:val="auto"/>
          <w:sz w:val="20"/>
          <w:szCs w:val="20"/>
          <w:lang w:val="bg-BG"/>
        </w:rPr>
        <w:t xml:space="preserve">Craig, P. </w:t>
      </w:r>
      <w:r w:rsidRPr="00ED0EDA">
        <w:rPr>
          <w:rFonts w:ascii="Times New Roman" w:hAnsi="Times New Roman" w:cs="Times New Roman"/>
          <w:color w:val="auto"/>
          <w:sz w:val="20"/>
          <w:szCs w:val="20"/>
          <w:lang w:val="bg-BG"/>
        </w:rPr>
        <w:t>Administrative Law. Sweet &amp; Maxwell. 2016, p. 293–294.</w:t>
      </w:r>
      <w:r w:rsidRPr="00ED0EDA">
        <w:rPr>
          <w:rFonts w:ascii="Times New Roman" w:hAnsi="Times New Roman" w:cs="Times New Roman"/>
          <w:b/>
          <w:bCs/>
          <w:color w:val="auto"/>
          <w:sz w:val="20"/>
          <w:szCs w:val="20"/>
          <w:lang w:val="bg-BG"/>
        </w:rPr>
        <w:t xml:space="preserve"> Pistone, P.</w:t>
      </w:r>
      <w:r w:rsidRPr="00ED0EDA">
        <w:rPr>
          <w:rFonts w:ascii="Times New Roman" w:hAnsi="Times New Roman" w:cs="Times New Roman"/>
          <w:color w:val="auto"/>
          <w:sz w:val="20"/>
          <w:szCs w:val="20"/>
          <w:lang w:val="bg-BG"/>
        </w:rPr>
        <w:t xml:space="preserve"> The General Report. Legal Remedies in European Tax Law. IBFD, 2009</w:t>
      </w:r>
      <w:r w:rsidRPr="00ED0EDA">
        <w:rPr>
          <w:rFonts w:ascii="Times New Roman" w:hAnsi="Times New Roman" w:cs="Times New Roman"/>
          <w:b/>
          <w:bCs/>
          <w:color w:val="auto"/>
          <w:sz w:val="20"/>
          <w:szCs w:val="20"/>
          <w:lang w:val="bg-BG"/>
        </w:rPr>
        <w:t xml:space="preserve"> </w:t>
      </w:r>
    </w:p>
  </w:footnote>
  <w:footnote w:id="67">
    <w:p w:rsidR="005572BD" w:rsidRPr="00ED0EDA" w:rsidRDefault="005572BD" w:rsidP="007807CD">
      <w:pPr>
        <w:pStyle w:val="zab"/>
        <w:spacing w:line="240" w:lineRule="auto"/>
        <w:ind w:firstLine="360"/>
        <w:rPr>
          <w:rFonts w:ascii="Times New Roman" w:hAnsi="Times New Roman" w:cs="Times New Roman"/>
          <w:color w:val="auto"/>
          <w:sz w:val="20"/>
          <w:szCs w:val="20"/>
          <w:lang w:val="bg-BG"/>
        </w:rPr>
      </w:pPr>
      <w:r w:rsidRPr="00ED0EDA">
        <w:rPr>
          <w:rFonts w:ascii="Times New Roman" w:hAnsi="Times New Roman" w:cs="Times New Roman"/>
          <w:color w:val="auto"/>
          <w:sz w:val="20"/>
          <w:szCs w:val="20"/>
          <w:vertAlign w:val="superscript"/>
        </w:rPr>
        <w:footnoteRef/>
      </w:r>
      <w:r w:rsidRPr="00ED0EDA">
        <w:rPr>
          <w:rFonts w:ascii="Times New Roman" w:hAnsi="Times New Roman" w:cs="Times New Roman"/>
          <w:color w:val="auto"/>
          <w:sz w:val="20"/>
          <w:szCs w:val="20"/>
          <w:lang w:val="bg-BG"/>
        </w:rPr>
        <w:t xml:space="preserve"> Виж и </w:t>
      </w:r>
      <w:r w:rsidRPr="00ED0EDA">
        <w:rPr>
          <w:rFonts w:ascii="Times New Roman" w:hAnsi="Times New Roman" w:cs="Times New Roman"/>
          <w:b/>
          <w:bCs/>
          <w:color w:val="auto"/>
          <w:sz w:val="20"/>
          <w:szCs w:val="20"/>
          <w:lang w:val="bg-BG"/>
        </w:rPr>
        <w:t xml:space="preserve">Pistone, P. </w:t>
      </w:r>
      <w:r w:rsidRPr="00ED0EDA">
        <w:rPr>
          <w:rFonts w:ascii="Times New Roman" w:hAnsi="Times New Roman" w:cs="Times New Roman"/>
          <w:color w:val="auto"/>
          <w:sz w:val="20"/>
          <w:szCs w:val="20"/>
          <w:lang w:val="bg-BG"/>
        </w:rPr>
        <w:t>Legal Remedies in European Tax Law. Part Five. Liability for Damages in European Law and Taxation. IBFD, 2009</w:t>
      </w:r>
      <w:r w:rsidRPr="00564D22">
        <w:rPr>
          <w:rFonts w:ascii="Times New Roman" w:hAnsi="Times New Roman" w:cs="Times New Roman"/>
          <w:b/>
          <w:bCs/>
          <w:color w:val="auto"/>
          <w:sz w:val="20"/>
          <w:szCs w:val="20"/>
          <w:lang w:val="bg-BG"/>
        </w:rPr>
        <w:t xml:space="preserve"> </w:t>
      </w:r>
      <w:r w:rsidRPr="00ED0EDA">
        <w:rPr>
          <w:rFonts w:ascii="Times New Roman" w:hAnsi="Times New Roman" w:cs="Times New Roman"/>
          <w:b/>
          <w:bCs/>
          <w:color w:val="auto"/>
          <w:sz w:val="20"/>
          <w:szCs w:val="20"/>
          <w:lang w:val="bg-BG"/>
        </w:rPr>
        <w:t>Костов, С.</w:t>
      </w:r>
      <w:r w:rsidRPr="00ED0EDA">
        <w:rPr>
          <w:rFonts w:ascii="Times New Roman" w:hAnsi="Times New Roman" w:cs="Times New Roman"/>
          <w:color w:val="auto"/>
          <w:sz w:val="20"/>
          <w:szCs w:val="20"/>
          <w:lang w:val="bg-BG"/>
        </w:rPr>
        <w:t xml:space="preserve"> Извъндоговорната отговорност на ЕС и на държавите членки. С., Сиби, 2017; </w:t>
      </w:r>
      <w:r w:rsidRPr="00ED0EDA">
        <w:rPr>
          <w:rFonts w:ascii="Times New Roman" w:hAnsi="Times New Roman" w:cs="Times New Roman"/>
          <w:b/>
          <w:bCs/>
          <w:color w:val="auto"/>
          <w:sz w:val="20"/>
          <w:szCs w:val="20"/>
          <w:lang w:val="bg-BG"/>
        </w:rPr>
        <w:t xml:space="preserve">Корнезов, Ал. </w:t>
      </w:r>
      <w:r w:rsidRPr="00ED0EDA">
        <w:rPr>
          <w:rFonts w:ascii="Times New Roman" w:hAnsi="Times New Roman" w:cs="Times New Roman"/>
          <w:color w:val="auto"/>
          <w:sz w:val="20"/>
          <w:szCs w:val="20"/>
          <w:lang w:val="bg-BG"/>
        </w:rPr>
        <w:t>Отговорността на държавата за нарушаване на правото на Европейския съюз. С., Сиела, 2012.</w:t>
      </w:r>
    </w:p>
    <w:p w:rsidR="005572BD" w:rsidRDefault="005572BD" w:rsidP="007807CD">
      <w:pPr>
        <w:pStyle w:val="zab"/>
        <w:spacing w:line="240" w:lineRule="auto"/>
        <w:ind w:firstLine="360"/>
      </w:pPr>
    </w:p>
  </w:footnote>
  <w:footnote w:id="68">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Вж. за повече информация за Международния консорциум на разследващите журналисти на интернет страницата: </w:t>
      </w:r>
      <w:hyperlink r:id="rId14" w:history="1">
        <w:r w:rsidRPr="00ED0EDA">
          <w:rPr>
            <w:rStyle w:val="Hyperlink"/>
            <w:rFonts w:ascii="Times New Roman" w:hAnsi="Times New Roman"/>
          </w:rPr>
          <w:t>https://www.icij.org/</w:t>
        </w:r>
      </w:hyperlink>
      <w:r w:rsidRPr="00ED0EDA">
        <w:rPr>
          <w:rFonts w:ascii="Times New Roman" w:hAnsi="Times New Roman"/>
        </w:rPr>
        <w:t xml:space="preserve"> </w:t>
      </w:r>
    </w:p>
  </w:footnote>
  <w:footnote w:id="69">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Вж. за повече информация за тези разкрития на интернет страницата: </w:t>
      </w:r>
      <w:hyperlink r:id="rId15" w:history="1">
        <w:r w:rsidRPr="00ED0EDA">
          <w:rPr>
            <w:rStyle w:val="Hyperlink"/>
            <w:rFonts w:ascii="Times New Roman" w:hAnsi="Times New Roman"/>
          </w:rPr>
          <w:t>https://www.wort.lu/fr/economie/le-luxembourg-paradis-fiscal-des-fortunes-allemandes-5cde7839da2cc1784e344404</w:t>
        </w:r>
      </w:hyperlink>
      <w:r w:rsidRPr="00ED0EDA">
        <w:rPr>
          <w:rFonts w:ascii="Times New Roman" w:hAnsi="Times New Roman"/>
        </w:rPr>
        <w:t xml:space="preserve"> </w:t>
      </w:r>
    </w:p>
  </w:footnote>
  <w:footnote w:id="70">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Вж. за повече информация относно </w:t>
      </w:r>
      <w:r w:rsidRPr="00ED0EDA">
        <w:rPr>
          <w:rFonts w:ascii="Times New Roman" w:hAnsi="Times New Roman"/>
          <w:lang w:val="en-US"/>
        </w:rPr>
        <w:t>FATCA</w:t>
      </w:r>
      <w:r w:rsidRPr="00ED0EDA">
        <w:rPr>
          <w:rFonts w:ascii="Times New Roman" w:hAnsi="Times New Roman"/>
        </w:rPr>
        <w:t xml:space="preserve"> на интернет страницата на Министерство на финансите на САЩ: </w:t>
      </w:r>
      <w:hyperlink r:id="rId16" w:history="1">
        <w:r w:rsidRPr="00ED0EDA">
          <w:rPr>
            <w:rStyle w:val="Hyperlink"/>
            <w:rFonts w:ascii="Times New Roman" w:hAnsi="Times New Roman"/>
            <w:lang w:val="en-US"/>
          </w:rPr>
          <w:t>https</w:t>
        </w:r>
        <w:r w:rsidRPr="00ED0EDA">
          <w:rPr>
            <w:rStyle w:val="Hyperlink"/>
            <w:rFonts w:ascii="Times New Roman" w:hAnsi="Times New Roman"/>
          </w:rPr>
          <w:t>://</w:t>
        </w:r>
        <w:r w:rsidRPr="00ED0EDA">
          <w:rPr>
            <w:rStyle w:val="Hyperlink"/>
            <w:rFonts w:ascii="Times New Roman" w:hAnsi="Times New Roman"/>
            <w:lang w:val="en-US"/>
          </w:rPr>
          <w:t>www</w:t>
        </w:r>
        <w:r w:rsidRPr="00ED0EDA">
          <w:rPr>
            <w:rStyle w:val="Hyperlink"/>
            <w:rFonts w:ascii="Times New Roman" w:hAnsi="Times New Roman"/>
          </w:rPr>
          <w:t>.</w:t>
        </w:r>
        <w:r w:rsidRPr="00ED0EDA">
          <w:rPr>
            <w:rStyle w:val="Hyperlink"/>
            <w:rFonts w:ascii="Times New Roman" w:hAnsi="Times New Roman"/>
            <w:lang w:val="en-US"/>
          </w:rPr>
          <w:t>treasury</w:t>
        </w:r>
        <w:r w:rsidRPr="00ED0EDA">
          <w:rPr>
            <w:rStyle w:val="Hyperlink"/>
            <w:rFonts w:ascii="Times New Roman" w:hAnsi="Times New Roman"/>
          </w:rPr>
          <w:t>.</w:t>
        </w:r>
        <w:r w:rsidRPr="00ED0EDA">
          <w:rPr>
            <w:rStyle w:val="Hyperlink"/>
            <w:rFonts w:ascii="Times New Roman" w:hAnsi="Times New Roman"/>
            <w:lang w:val="en-US"/>
          </w:rPr>
          <w:t>gov</w:t>
        </w:r>
        <w:r w:rsidRPr="00ED0EDA">
          <w:rPr>
            <w:rStyle w:val="Hyperlink"/>
            <w:rFonts w:ascii="Times New Roman" w:hAnsi="Times New Roman"/>
          </w:rPr>
          <w:t>/</w:t>
        </w:r>
        <w:r w:rsidRPr="00ED0EDA">
          <w:rPr>
            <w:rStyle w:val="Hyperlink"/>
            <w:rFonts w:ascii="Times New Roman" w:hAnsi="Times New Roman"/>
            <w:lang w:val="en-US"/>
          </w:rPr>
          <w:t>resource</w:t>
        </w:r>
        <w:r w:rsidRPr="00ED0EDA">
          <w:rPr>
            <w:rStyle w:val="Hyperlink"/>
            <w:rFonts w:ascii="Times New Roman" w:hAnsi="Times New Roman"/>
          </w:rPr>
          <w:t>-</w:t>
        </w:r>
        <w:r w:rsidRPr="00ED0EDA">
          <w:rPr>
            <w:rStyle w:val="Hyperlink"/>
            <w:rFonts w:ascii="Times New Roman" w:hAnsi="Times New Roman"/>
            <w:lang w:val="en-US"/>
          </w:rPr>
          <w:t>center</w:t>
        </w:r>
        <w:r w:rsidRPr="00ED0EDA">
          <w:rPr>
            <w:rStyle w:val="Hyperlink"/>
            <w:rFonts w:ascii="Times New Roman" w:hAnsi="Times New Roman"/>
          </w:rPr>
          <w:t>/</w:t>
        </w:r>
        <w:r w:rsidRPr="00ED0EDA">
          <w:rPr>
            <w:rStyle w:val="Hyperlink"/>
            <w:rFonts w:ascii="Times New Roman" w:hAnsi="Times New Roman"/>
            <w:lang w:val="en-US"/>
          </w:rPr>
          <w:t>tax</w:t>
        </w:r>
        <w:r w:rsidRPr="00ED0EDA">
          <w:rPr>
            <w:rStyle w:val="Hyperlink"/>
            <w:rFonts w:ascii="Times New Roman" w:hAnsi="Times New Roman"/>
          </w:rPr>
          <w:t>-</w:t>
        </w:r>
        <w:r w:rsidRPr="00ED0EDA">
          <w:rPr>
            <w:rStyle w:val="Hyperlink"/>
            <w:rFonts w:ascii="Times New Roman" w:hAnsi="Times New Roman"/>
            <w:lang w:val="en-US"/>
          </w:rPr>
          <w:t>policy</w:t>
        </w:r>
        <w:r w:rsidRPr="00ED0EDA">
          <w:rPr>
            <w:rStyle w:val="Hyperlink"/>
            <w:rFonts w:ascii="Times New Roman" w:hAnsi="Times New Roman"/>
          </w:rPr>
          <w:t>/</w:t>
        </w:r>
        <w:r w:rsidRPr="00ED0EDA">
          <w:rPr>
            <w:rStyle w:val="Hyperlink"/>
            <w:rFonts w:ascii="Times New Roman" w:hAnsi="Times New Roman"/>
            <w:lang w:val="en-US"/>
          </w:rPr>
          <w:t>treaties</w:t>
        </w:r>
        <w:r w:rsidRPr="00ED0EDA">
          <w:rPr>
            <w:rStyle w:val="Hyperlink"/>
            <w:rFonts w:ascii="Times New Roman" w:hAnsi="Times New Roman"/>
          </w:rPr>
          <w:t>/</w:t>
        </w:r>
        <w:r w:rsidRPr="00ED0EDA">
          <w:rPr>
            <w:rStyle w:val="Hyperlink"/>
            <w:rFonts w:ascii="Times New Roman" w:hAnsi="Times New Roman"/>
            <w:lang w:val="en-US"/>
          </w:rPr>
          <w:t>Pages</w:t>
        </w:r>
        <w:r w:rsidRPr="00ED0EDA">
          <w:rPr>
            <w:rStyle w:val="Hyperlink"/>
            <w:rFonts w:ascii="Times New Roman" w:hAnsi="Times New Roman"/>
          </w:rPr>
          <w:t>/</w:t>
        </w:r>
        <w:r w:rsidRPr="00ED0EDA">
          <w:rPr>
            <w:rStyle w:val="Hyperlink"/>
            <w:rFonts w:ascii="Times New Roman" w:hAnsi="Times New Roman"/>
            <w:lang w:val="en-US"/>
          </w:rPr>
          <w:t>FATCA</w:t>
        </w:r>
        <w:r w:rsidRPr="00ED0EDA">
          <w:rPr>
            <w:rStyle w:val="Hyperlink"/>
            <w:rFonts w:ascii="Times New Roman" w:hAnsi="Times New Roman"/>
          </w:rPr>
          <w:t>.</w:t>
        </w:r>
        <w:r w:rsidRPr="00ED0EDA">
          <w:rPr>
            <w:rStyle w:val="Hyperlink"/>
            <w:rFonts w:ascii="Times New Roman" w:hAnsi="Times New Roman"/>
            <w:lang w:val="en-US"/>
          </w:rPr>
          <w:t>aspx</w:t>
        </w:r>
      </w:hyperlink>
      <w:r w:rsidRPr="00ED0EDA">
        <w:rPr>
          <w:rFonts w:ascii="Times New Roman" w:hAnsi="Times New Roman"/>
        </w:rPr>
        <w:t xml:space="preserve"> </w:t>
      </w:r>
    </w:p>
  </w:footnote>
  <w:footnote w:id="71">
    <w:p w:rsidR="005572BD" w:rsidRDefault="005572BD" w:rsidP="007807CD">
      <w:pPr>
        <w:pStyle w:val="FootnoteText"/>
        <w:ind w:firstLine="360"/>
        <w:jc w:val="both"/>
      </w:pPr>
      <w:r w:rsidRPr="00ED0EDA">
        <w:rPr>
          <w:rStyle w:val="FootnoteReference"/>
          <w:rFonts w:ascii="Times New Roman" w:hAnsi="Times New Roman"/>
        </w:rPr>
        <w:footnoteRef/>
      </w:r>
      <w:r w:rsidRPr="00ED0EDA">
        <w:rPr>
          <w:rFonts w:ascii="Times New Roman" w:hAnsi="Times New Roman"/>
        </w:rPr>
        <w:t xml:space="preserve"> </w:t>
      </w:r>
      <w:hyperlink r:id="rId17" w:history="1">
        <w:r w:rsidRPr="00ED0EDA">
          <w:rPr>
            <w:rStyle w:val="Hyperlink"/>
            <w:rFonts w:ascii="Times New Roman" w:hAnsi="Times New Roman"/>
            <w:color w:val="auto"/>
          </w:rPr>
          <w:t>https://rm.coe.int/16807096c8</w:t>
        </w:r>
      </w:hyperlink>
      <w:r w:rsidRPr="00ED0EDA">
        <w:rPr>
          <w:rFonts w:ascii="Times New Roman" w:hAnsi="Times New Roman"/>
        </w:rPr>
        <w:t xml:space="preserve"> </w:t>
      </w:r>
    </w:p>
  </w:footnote>
  <w:footnote w:id="72">
    <w:p w:rsidR="005572BD" w:rsidRDefault="005572BD" w:rsidP="007807CD">
      <w:pPr>
        <w:pStyle w:val="FootnoteText"/>
        <w:ind w:firstLine="360"/>
        <w:jc w:val="both"/>
      </w:pPr>
      <w:r w:rsidRPr="00ED0EDA">
        <w:rPr>
          <w:rStyle w:val="FootnoteReference"/>
          <w:rFonts w:ascii="Times New Roman" w:hAnsi="Times New Roman"/>
        </w:rPr>
        <w:footnoteRef/>
      </w:r>
      <w:r>
        <w:rPr>
          <w:rFonts w:ascii="Times New Roman" w:hAnsi="Times New Roman"/>
        </w:rPr>
        <w:t xml:space="preserve"> </w:t>
      </w:r>
      <w:hyperlink r:id="rId18" w:history="1">
        <w:r w:rsidRPr="00ED0EDA">
          <w:rPr>
            <w:rStyle w:val="Hyperlink"/>
            <w:rFonts w:ascii="Times New Roman" w:hAnsi="Times New Roman"/>
          </w:rPr>
          <w:t>https://www.legifrance.gouv.fr/affichTexte.do?cidTexte=JORFTEXT000033558528&amp;categorieLien=id</w:t>
        </w:r>
      </w:hyperlink>
      <w:r w:rsidRPr="00ED0EDA">
        <w:rPr>
          <w:rFonts w:ascii="Times New Roman" w:hAnsi="Times New Roman"/>
        </w:rPr>
        <w:t xml:space="preserve"> </w:t>
      </w:r>
    </w:p>
  </w:footnote>
  <w:footnote w:id="73">
    <w:p w:rsidR="005572BD" w:rsidRDefault="005572BD" w:rsidP="007807CD">
      <w:pPr>
        <w:pStyle w:val="FootnoteText"/>
        <w:ind w:firstLine="360"/>
        <w:jc w:val="both"/>
      </w:pPr>
      <w:r w:rsidRPr="00ED0EDA">
        <w:rPr>
          <w:rStyle w:val="FootnoteReference"/>
          <w:rFonts w:ascii="Times New Roman" w:hAnsi="Times New Roman"/>
        </w:rPr>
        <w:footnoteRef/>
      </w:r>
      <w:r>
        <w:rPr>
          <w:rFonts w:ascii="Times New Roman" w:hAnsi="Times New Roman"/>
        </w:rPr>
        <w:t xml:space="preserve"> COM(2018) 218. Европей</w:t>
      </w:r>
      <w:r w:rsidRPr="00ED0EDA">
        <w:rPr>
          <w:rFonts w:ascii="Times New Roman" w:hAnsi="Times New Roman"/>
        </w:rPr>
        <w:t>с</w:t>
      </w:r>
      <w:r>
        <w:rPr>
          <w:rFonts w:ascii="Times New Roman" w:hAnsi="Times New Roman"/>
        </w:rPr>
        <w:t>к</w:t>
      </w:r>
      <w:r w:rsidRPr="00ED0EDA">
        <w:rPr>
          <w:rFonts w:ascii="Times New Roman" w:hAnsi="Times New Roman"/>
        </w:rPr>
        <w:t>ият парламент и Съветът на ЕС постигнаха съгласие по това предложение на 11 март 2019</w:t>
      </w:r>
      <w:r>
        <w:rPr>
          <w:rFonts w:ascii="Times New Roman" w:hAnsi="Times New Roman"/>
        </w:rPr>
        <w:t xml:space="preserve"> г</w:t>
      </w:r>
      <w:r w:rsidRPr="00ED0EDA">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343FD"/>
    <w:multiLevelType w:val="hybridMultilevel"/>
    <w:tmpl w:val="1624C35A"/>
    <w:lvl w:ilvl="0" w:tplc="0409000B">
      <w:start w:val="1"/>
      <w:numFmt w:val="bullet"/>
      <w:lvlText w:val=""/>
      <w:lvlJc w:val="left"/>
      <w:pPr>
        <w:ind w:left="1644" w:hanging="360"/>
      </w:pPr>
      <w:rPr>
        <w:rFonts w:ascii="Wingdings" w:hAnsi="Wingdings" w:hint="default"/>
      </w:rPr>
    </w:lvl>
    <w:lvl w:ilvl="1" w:tplc="04090003">
      <w:start w:val="1"/>
      <w:numFmt w:val="bullet"/>
      <w:lvlText w:val="o"/>
      <w:lvlJc w:val="left"/>
      <w:pPr>
        <w:ind w:left="2364" w:hanging="360"/>
      </w:pPr>
      <w:rPr>
        <w:rFonts w:ascii="Courier New" w:hAnsi="Courier New" w:hint="default"/>
      </w:rPr>
    </w:lvl>
    <w:lvl w:ilvl="2" w:tplc="04090005">
      <w:start w:val="1"/>
      <w:numFmt w:val="bullet"/>
      <w:lvlText w:val=""/>
      <w:lvlJc w:val="left"/>
      <w:pPr>
        <w:ind w:left="3084" w:hanging="360"/>
      </w:pPr>
      <w:rPr>
        <w:rFonts w:ascii="Wingdings" w:hAnsi="Wingdings" w:hint="default"/>
      </w:rPr>
    </w:lvl>
    <w:lvl w:ilvl="3" w:tplc="04090001">
      <w:start w:val="1"/>
      <w:numFmt w:val="bullet"/>
      <w:lvlText w:val=""/>
      <w:lvlJc w:val="left"/>
      <w:pPr>
        <w:ind w:left="3804" w:hanging="360"/>
      </w:pPr>
      <w:rPr>
        <w:rFonts w:ascii="Symbol" w:hAnsi="Symbol" w:hint="default"/>
      </w:rPr>
    </w:lvl>
    <w:lvl w:ilvl="4" w:tplc="04090003">
      <w:start w:val="1"/>
      <w:numFmt w:val="bullet"/>
      <w:lvlText w:val="o"/>
      <w:lvlJc w:val="left"/>
      <w:pPr>
        <w:ind w:left="4524" w:hanging="360"/>
      </w:pPr>
      <w:rPr>
        <w:rFonts w:ascii="Courier New" w:hAnsi="Courier New" w:hint="default"/>
      </w:rPr>
    </w:lvl>
    <w:lvl w:ilvl="5" w:tplc="04090005">
      <w:start w:val="1"/>
      <w:numFmt w:val="bullet"/>
      <w:lvlText w:val=""/>
      <w:lvlJc w:val="left"/>
      <w:pPr>
        <w:ind w:left="5244" w:hanging="360"/>
      </w:pPr>
      <w:rPr>
        <w:rFonts w:ascii="Wingdings" w:hAnsi="Wingdings" w:hint="default"/>
      </w:rPr>
    </w:lvl>
    <w:lvl w:ilvl="6" w:tplc="04090001">
      <w:start w:val="1"/>
      <w:numFmt w:val="bullet"/>
      <w:lvlText w:val=""/>
      <w:lvlJc w:val="left"/>
      <w:pPr>
        <w:ind w:left="5964" w:hanging="360"/>
      </w:pPr>
      <w:rPr>
        <w:rFonts w:ascii="Symbol" w:hAnsi="Symbol" w:hint="default"/>
      </w:rPr>
    </w:lvl>
    <w:lvl w:ilvl="7" w:tplc="04090003">
      <w:start w:val="1"/>
      <w:numFmt w:val="bullet"/>
      <w:lvlText w:val="o"/>
      <w:lvlJc w:val="left"/>
      <w:pPr>
        <w:ind w:left="6684" w:hanging="360"/>
      </w:pPr>
      <w:rPr>
        <w:rFonts w:ascii="Courier New" w:hAnsi="Courier New" w:hint="default"/>
      </w:rPr>
    </w:lvl>
    <w:lvl w:ilvl="8" w:tplc="04090005">
      <w:start w:val="1"/>
      <w:numFmt w:val="bullet"/>
      <w:lvlText w:val=""/>
      <w:lvlJc w:val="left"/>
      <w:pPr>
        <w:ind w:left="7404" w:hanging="360"/>
      </w:pPr>
      <w:rPr>
        <w:rFonts w:ascii="Wingdings" w:hAnsi="Wingdings" w:hint="default"/>
      </w:rPr>
    </w:lvl>
  </w:abstractNum>
  <w:abstractNum w:abstractNumId="1">
    <w:nsid w:val="08706CD1"/>
    <w:multiLevelType w:val="hybridMultilevel"/>
    <w:tmpl w:val="00E0DCD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AC55E30"/>
    <w:multiLevelType w:val="hybridMultilevel"/>
    <w:tmpl w:val="09D8FD04"/>
    <w:lvl w:ilvl="0" w:tplc="F02E9E78">
      <w:start w:val="1"/>
      <w:numFmt w:val="decimal"/>
      <w:lvlText w:val="%1."/>
      <w:lvlJc w:val="left"/>
      <w:pPr>
        <w:ind w:left="1080" w:hanging="360"/>
      </w:pPr>
      <w:rPr>
        <w:rFonts w:cs="Times New Roman" w:hint="default"/>
      </w:rPr>
    </w:lvl>
    <w:lvl w:ilvl="1" w:tplc="04020019">
      <w:start w:val="1"/>
      <w:numFmt w:val="lowerLetter"/>
      <w:lvlText w:val="%2."/>
      <w:lvlJc w:val="left"/>
      <w:pPr>
        <w:ind w:left="1800" w:hanging="360"/>
      </w:pPr>
      <w:rPr>
        <w:rFonts w:cs="Times New Roman"/>
      </w:rPr>
    </w:lvl>
    <w:lvl w:ilvl="2" w:tplc="0402001B">
      <w:start w:val="1"/>
      <w:numFmt w:val="lowerRoman"/>
      <w:lvlText w:val="%3."/>
      <w:lvlJc w:val="right"/>
      <w:pPr>
        <w:ind w:left="2520" w:hanging="180"/>
      </w:pPr>
      <w:rPr>
        <w:rFonts w:cs="Times New Roman"/>
      </w:rPr>
    </w:lvl>
    <w:lvl w:ilvl="3" w:tplc="0402000F">
      <w:start w:val="1"/>
      <w:numFmt w:val="decimal"/>
      <w:lvlText w:val="%4."/>
      <w:lvlJc w:val="left"/>
      <w:pPr>
        <w:ind w:left="3240" w:hanging="360"/>
      </w:pPr>
      <w:rPr>
        <w:rFonts w:cs="Times New Roman"/>
      </w:rPr>
    </w:lvl>
    <w:lvl w:ilvl="4" w:tplc="04020019">
      <w:start w:val="1"/>
      <w:numFmt w:val="lowerLetter"/>
      <w:lvlText w:val="%5."/>
      <w:lvlJc w:val="left"/>
      <w:pPr>
        <w:ind w:left="3960" w:hanging="360"/>
      </w:pPr>
      <w:rPr>
        <w:rFonts w:cs="Times New Roman"/>
      </w:rPr>
    </w:lvl>
    <w:lvl w:ilvl="5" w:tplc="0402001B">
      <w:start w:val="1"/>
      <w:numFmt w:val="lowerRoman"/>
      <w:lvlText w:val="%6."/>
      <w:lvlJc w:val="right"/>
      <w:pPr>
        <w:ind w:left="4680" w:hanging="180"/>
      </w:pPr>
      <w:rPr>
        <w:rFonts w:cs="Times New Roman"/>
      </w:rPr>
    </w:lvl>
    <w:lvl w:ilvl="6" w:tplc="0402000F">
      <w:start w:val="1"/>
      <w:numFmt w:val="decimal"/>
      <w:lvlText w:val="%7."/>
      <w:lvlJc w:val="left"/>
      <w:pPr>
        <w:ind w:left="5400" w:hanging="360"/>
      </w:pPr>
      <w:rPr>
        <w:rFonts w:cs="Times New Roman"/>
      </w:rPr>
    </w:lvl>
    <w:lvl w:ilvl="7" w:tplc="04020019">
      <w:start w:val="1"/>
      <w:numFmt w:val="lowerLetter"/>
      <w:lvlText w:val="%8."/>
      <w:lvlJc w:val="left"/>
      <w:pPr>
        <w:ind w:left="6120" w:hanging="360"/>
      </w:pPr>
      <w:rPr>
        <w:rFonts w:cs="Times New Roman"/>
      </w:rPr>
    </w:lvl>
    <w:lvl w:ilvl="8" w:tplc="0402001B">
      <w:start w:val="1"/>
      <w:numFmt w:val="lowerRoman"/>
      <w:lvlText w:val="%9."/>
      <w:lvlJc w:val="right"/>
      <w:pPr>
        <w:ind w:left="6840" w:hanging="180"/>
      </w:pPr>
      <w:rPr>
        <w:rFonts w:cs="Times New Roman"/>
      </w:rPr>
    </w:lvl>
  </w:abstractNum>
  <w:abstractNum w:abstractNumId="3">
    <w:nsid w:val="176C3CB3"/>
    <w:multiLevelType w:val="hybridMultilevel"/>
    <w:tmpl w:val="5940632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7716D47"/>
    <w:multiLevelType w:val="hybridMultilevel"/>
    <w:tmpl w:val="DB2225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9DE1C17"/>
    <w:multiLevelType w:val="hybridMultilevel"/>
    <w:tmpl w:val="F0825EC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AD34EFE"/>
    <w:multiLevelType w:val="hybridMultilevel"/>
    <w:tmpl w:val="4DB45D8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01D269E"/>
    <w:multiLevelType w:val="hybridMultilevel"/>
    <w:tmpl w:val="773CD40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264C6760"/>
    <w:multiLevelType w:val="hybridMultilevel"/>
    <w:tmpl w:val="58C0516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49202E4"/>
    <w:multiLevelType w:val="hybridMultilevel"/>
    <w:tmpl w:val="17685B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8A43ACF"/>
    <w:multiLevelType w:val="hybridMultilevel"/>
    <w:tmpl w:val="FE1AB8E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48A65C43"/>
    <w:multiLevelType w:val="hybridMultilevel"/>
    <w:tmpl w:val="72349360"/>
    <w:lvl w:ilvl="0" w:tplc="0409000B">
      <w:start w:val="1"/>
      <w:numFmt w:val="bullet"/>
      <w:lvlText w:val=""/>
      <w:lvlJc w:val="left"/>
      <w:pPr>
        <w:ind w:left="1644" w:hanging="360"/>
      </w:pPr>
      <w:rPr>
        <w:rFonts w:ascii="Wingdings" w:hAnsi="Wingdings" w:hint="default"/>
      </w:rPr>
    </w:lvl>
    <w:lvl w:ilvl="1" w:tplc="04090003">
      <w:start w:val="1"/>
      <w:numFmt w:val="bullet"/>
      <w:lvlText w:val="o"/>
      <w:lvlJc w:val="left"/>
      <w:pPr>
        <w:ind w:left="2364" w:hanging="360"/>
      </w:pPr>
      <w:rPr>
        <w:rFonts w:ascii="Courier New" w:hAnsi="Courier New" w:hint="default"/>
      </w:rPr>
    </w:lvl>
    <w:lvl w:ilvl="2" w:tplc="04090005">
      <w:start w:val="1"/>
      <w:numFmt w:val="bullet"/>
      <w:lvlText w:val=""/>
      <w:lvlJc w:val="left"/>
      <w:pPr>
        <w:ind w:left="3084" w:hanging="360"/>
      </w:pPr>
      <w:rPr>
        <w:rFonts w:ascii="Wingdings" w:hAnsi="Wingdings" w:hint="default"/>
      </w:rPr>
    </w:lvl>
    <w:lvl w:ilvl="3" w:tplc="04090001">
      <w:start w:val="1"/>
      <w:numFmt w:val="bullet"/>
      <w:lvlText w:val=""/>
      <w:lvlJc w:val="left"/>
      <w:pPr>
        <w:ind w:left="3804" w:hanging="360"/>
      </w:pPr>
      <w:rPr>
        <w:rFonts w:ascii="Symbol" w:hAnsi="Symbol" w:hint="default"/>
      </w:rPr>
    </w:lvl>
    <w:lvl w:ilvl="4" w:tplc="04090003">
      <w:start w:val="1"/>
      <w:numFmt w:val="bullet"/>
      <w:lvlText w:val="o"/>
      <w:lvlJc w:val="left"/>
      <w:pPr>
        <w:ind w:left="4524" w:hanging="360"/>
      </w:pPr>
      <w:rPr>
        <w:rFonts w:ascii="Courier New" w:hAnsi="Courier New" w:hint="default"/>
      </w:rPr>
    </w:lvl>
    <w:lvl w:ilvl="5" w:tplc="04090005">
      <w:start w:val="1"/>
      <w:numFmt w:val="bullet"/>
      <w:lvlText w:val=""/>
      <w:lvlJc w:val="left"/>
      <w:pPr>
        <w:ind w:left="5244" w:hanging="360"/>
      </w:pPr>
      <w:rPr>
        <w:rFonts w:ascii="Wingdings" w:hAnsi="Wingdings" w:hint="default"/>
      </w:rPr>
    </w:lvl>
    <w:lvl w:ilvl="6" w:tplc="04090001">
      <w:start w:val="1"/>
      <w:numFmt w:val="bullet"/>
      <w:lvlText w:val=""/>
      <w:lvlJc w:val="left"/>
      <w:pPr>
        <w:ind w:left="5964" w:hanging="360"/>
      </w:pPr>
      <w:rPr>
        <w:rFonts w:ascii="Symbol" w:hAnsi="Symbol" w:hint="default"/>
      </w:rPr>
    </w:lvl>
    <w:lvl w:ilvl="7" w:tplc="04090003">
      <w:start w:val="1"/>
      <w:numFmt w:val="bullet"/>
      <w:lvlText w:val="o"/>
      <w:lvlJc w:val="left"/>
      <w:pPr>
        <w:ind w:left="6684" w:hanging="360"/>
      </w:pPr>
      <w:rPr>
        <w:rFonts w:ascii="Courier New" w:hAnsi="Courier New" w:hint="default"/>
      </w:rPr>
    </w:lvl>
    <w:lvl w:ilvl="8" w:tplc="04090005">
      <w:start w:val="1"/>
      <w:numFmt w:val="bullet"/>
      <w:lvlText w:val=""/>
      <w:lvlJc w:val="left"/>
      <w:pPr>
        <w:ind w:left="7404" w:hanging="360"/>
      </w:pPr>
      <w:rPr>
        <w:rFonts w:ascii="Wingdings" w:hAnsi="Wingdings" w:hint="default"/>
      </w:rPr>
    </w:lvl>
  </w:abstractNum>
  <w:abstractNum w:abstractNumId="12">
    <w:nsid w:val="504B18AA"/>
    <w:multiLevelType w:val="hybridMultilevel"/>
    <w:tmpl w:val="AB4AA102"/>
    <w:lvl w:ilvl="0" w:tplc="0409000B">
      <w:start w:val="1"/>
      <w:numFmt w:val="bullet"/>
      <w:lvlText w:val=""/>
      <w:lvlJc w:val="left"/>
      <w:pPr>
        <w:ind w:left="1140" w:hanging="360"/>
      </w:pPr>
      <w:rPr>
        <w:rFonts w:ascii="Wingdings" w:hAnsi="Wingdings" w:hint="default"/>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13">
    <w:nsid w:val="51597883"/>
    <w:multiLevelType w:val="hybridMultilevel"/>
    <w:tmpl w:val="840413A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5A066D16"/>
    <w:multiLevelType w:val="hybridMultilevel"/>
    <w:tmpl w:val="A7BEB682"/>
    <w:lvl w:ilvl="0" w:tplc="04020011">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5">
    <w:nsid w:val="5A9265B0"/>
    <w:multiLevelType w:val="hybridMultilevel"/>
    <w:tmpl w:val="991E7E4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62AC32F7"/>
    <w:multiLevelType w:val="hybridMultilevel"/>
    <w:tmpl w:val="2FC4C43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64E278D9"/>
    <w:multiLevelType w:val="hybridMultilevel"/>
    <w:tmpl w:val="42B68FA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689F5894"/>
    <w:multiLevelType w:val="hybridMultilevel"/>
    <w:tmpl w:val="3A46E9BA"/>
    <w:lvl w:ilvl="0" w:tplc="2A1003C6">
      <w:start w:val="1"/>
      <w:numFmt w:val="decimal"/>
      <w:lvlText w:val="%1."/>
      <w:lvlJc w:val="left"/>
      <w:pPr>
        <w:ind w:left="1224" w:hanging="360"/>
      </w:pPr>
      <w:rPr>
        <w:rFonts w:cs="Times New Roman" w:hint="default"/>
      </w:rPr>
    </w:lvl>
    <w:lvl w:ilvl="1" w:tplc="04090019">
      <w:start w:val="1"/>
      <w:numFmt w:val="lowerLetter"/>
      <w:lvlText w:val="%2."/>
      <w:lvlJc w:val="left"/>
      <w:pPr>
        <w:ind w:left="1944" w:hanging="360"/>
      </w:pPr>
      <w:rPr>
        <w:rFonts w:cs="Times New Roman"/>
      </w:rPr>
    </w:lvl>
    <w:lvl w:ilvl="2" w:tplc="0409001B">
      <w:start w:val="1"/>
      <w:numFmt w:val="lowerRoman"/>
      <w:lvlText w:val="%3."/>
      <w:lvlJc w:val="right"/>
      <w:pPr>
        <w:ind w:left="2664" w:hanging="180"/>
      </w:pPr>
      <w:rPr>
        <w:rFonts w:cs="Times New Roman"/>
      </w:rPr>
    </w:lvl>
    <w:lvl w:ilvl="3" w:tplc="0409000F">
      <w:start w:val="1"/>
      <w:numFmt w:val="decimal"/>
      <w:lvlText w:val="%4."/>
      <w:lvlJc w:val="left"/>
      <w:pPr>
        <w:ind w:left="3384" w:hanging="360"/>
      </w:pPr>
      <w:rPr>
        <w:rFonts w:cs="Times New Roman"/>
      </w:rPr>
    </w:lvl>
    <w:lvl w:ilvl="4" w:tplc="04090019">
      <w:start w:val="1"/>
      <w:numFmt w:val="lowerLetter"/>
      <w:lvlText w:val="%5."/>
      <w:lvlJc w:val="left"/>
      <w:pPr>
        <w:ind w:left="4104" w:hanging="360"/>
      </w:pPr>
      <w:rPr>
        <w:rFonts w:cs="Times New Roman"/>
      </w:rPr>
    </w:lvl>
    <w:lvl w:ilvl="5" w:tplc="0409001B">
      <w:start w:val="1"/>
      <w:numFmt w:val="lowerRoman"/>
      <w:lvlText w:val="%6."/>
      <w:lvlJc w:val="right"/>
      <w:pPr>
        <w:ind w:left="4824" w:hanging="180"/>
      </w:pPr>
      <w:rPr>
        <w:rFonts w:cs="Times New Roman"/>
      </w:rPr>
    </w:lvl>
    <w:lvl w:ilvl="6" w:tplc="0409000F">
      <w:start w:val="1"/>
      <w:numFmt w:val="decimal"/>
      <w:lvlText w:val="%7."/>
      <w:lvlJc w:val="left"/>
      <w:pPr>
        <w:ind w:left="5544" w:hanging="360"/>
      </w:pPr>
      <w:rPr>
        <w:rFonts w:cs="Times New Roman"/>
      </w:rPr>
    </w:lvl>
    <w:lvl w:ilvl="7" w:tplc="04090019">
      <w:start w:val="1"/>
      <w:numFmt w:val="lowerLetter"/>
      <w:lvlText w:val="%8."/>
      <w:lvlJc w:val="left"/>
      <w:pPr>
        <w:ind w:left="6264" w:hanging="360"/>
      </w:pPr>
      <w:rPr>
        <w:rFonts w:cs="Times New Roman"/>
      </w:rPr>
    </w:lvl>
    <w:lvl w:ilvl="8" w:tplc="0409001B">
      <w:start w:val="1"/>
      <w:numFmt w:val="lowerRoman"/>
      <w:lvlText w:val="%9."/>
      <w:lvlJc w:val="right"/>
      <w:pPr>
        <w:ind w:left="6984" w:hanging="180"/>
      </w:pPr>
      <w:rPr>
        <w:rFonts w:cs="Times New Roman"/>
      </w:rPr>
    </w:lvl>
  </w:abstractNum>
  <w:abstractNum w:abstractNumId="19">
    <w:nsid w:val="6EB435D0"/>
    <w:multiLevelType w:val="hybridMultilevel"/>
    <w:tmpl w:val="7B829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num w:numId="1">
    <w:abstractNumId w:val="14"/>
  </w:num>
  <w:num w:numId="2">
    <w:abstractNumId w:val="4"/>
  </w:num>
  <w:num w:numId="3">
    <w:abstractNumId w:val="15"/>
  </w:num>
  <w:num w:numId="4">
    <w:abstractNumId w:val="12"/>
  </w:num>
  <w:num w:numId="5">
    <w:abstractNumId w:val="11"/>
  </w:num>
  <w:num w:numId="6">
    <w:abstractNumId w:val="0"/>
  </w:num>
  <w:num w:numId="7">
    <w:abstractNumId w:val="18"/>
  </w:num>
  <w:num w:numId="8">
    <w:abstractNumId w:val="9"/>
  </w:num>
  <w:num w:numId="9">
    <w:abstractNumId w:val="19"/>
  </w:num>
  <w:num w:numId="10">
    <w:abstractNumId w:val="5"/>
  </w:num>
  <w:num w:numId="11">
    <w:abstractNumId w:val="2"/>
  </w:num>
  <w:num w:numId="12">
    <w:abstractNumId w:val="10"/>
  </w:num>
  <w:num w:numId="13">
    <w:abstractNumId w:val="17"/>
  </w:num>
  <w:num w:numId="14">
    <w:abstractNumId w:val="16"/>
  </w:num>
  <w:num w:numId="15">
    <w:abstractNumId w:val="6"/>
  </w:num>
  <w:num w:numId="16">
    <w:abstractNumId w:val="13"/>
  </w:num>
  <w:num w:numId="17">
    <w:abstractNumId w:val="1"/>
  </w:num>
  <w:num w:numId="18">
    <w:abstractNumId w:val="8"/>
  </w:num>
  <w:num w:numId="19">
    <w:abstractNumId w:val="3"/>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2B3E"/>
    <w:rsid w:val="000172C6"/>
    <w:rsid w:val="000179A8"/>
    <w:rsid w:val="0002366C"/>
    <w:rsid w:val="00064721"/>
    <w:rsid w:val="00071DB9"/>
    <w:rsid w:val="00096B16"/>
    <w:rsid w:val="000C1FFB"/>
    <w:rsid w:val="000C42AE"/>
    <w:rsid w:val="000C7DF4"/>
    <w:rsid w:val="000E13A3"/>
    <w:rsid w:val="000E307C"/>
    <w:rsid w:val="000F704E"/>
    <w:rsid w:val="00100E50"/>
    <w:rsid w:val="00102E10"/>
    <w:rsid w:val="00132400"/>
    <w:rsid w:val="0014544D"/>
    <w:rsid w:val="00160CB5"/>
    <w:rsid w:val="00182DA5"/>
    <w:rsid w:val="00186BCF"/>
    <w:rsid w:val="001A6EE7"/>
    <w:rsid w:val="001B184D"/>
    <w:rsid w:val="001F6B04"/>
    <w:rsid w:val="00217798"/>
    <w:rsid w:val="002348B3"/>
    <w:rsid w:val="00245230"/>
    <w:rsid w:val="002452FA"/>
    <w:rsid w:val="002627C7"/>
    <w:rsid w:val="002643B0"/>
    <w:rsid w:val="002824E0"/>
    <w:rsid w:val="002834A3"/>
    <w:rsid w:val="002853E6"/>
    <w:rsid w:val="00285902"/>
    <w:rsid w:val="002A542F"/>
    <w:rsid w:val="002B39B7"/>
    <w:rsid w:val="002B40DC"/>
    <w:rsid w:val="002C5988"/>
    <w:rsid w:val="002C76E8"/>
    <w:rsid w:val="002D57E1"/>
    <w:rsid w:val="002E729A"/>
    <w:rsid w:val="002E7B8B"/>
    <w:rsid w:val="00305049"/>
    <w:rsid w:val="00315AE8"/>
    <w:rsid w:val="003350BE"/>
    <w:rsid w:val="00337BB2"/>
    <w:rsid w:val="00344935"/>
    <w:rsid w:val="00372BFE"/>
    <w:rsid w:val="00376118"/>
    <w:rsid w:val="00385BD5"/>
    <w:rsid w:val="00393680"/>
    <w:rsid w:val="003B3727"/>
    <w:rsid w:val="003C3608"/>
    <w:rsid w:val="003C686C"/>
    <w:rsid w:val="003C7E9B"/>
    <w:rsid w:val="003D36A0"/>
    <w:rsid w:val="003E04E5"/>
    <w:rsid w:val="003E3EDC"/>
    <w:rsid w:val="003E6B58"/>
    <w:rsid w:val="00402AAA"/>
    <w:rsid w:val="00422FE6"/>
    <w:rsid w:val="00442B3E"/>
    <w:rsid w:val="004547E0"/>
    <w:rsid w:val="00464479"/>
    <w:rsid w:val="00472D35"/>
    <w:rsid w:val="00485C59"/>
    <w:rsid w:val="004A2DA9"/>
    <w:rsid w:val="004A5580"/>
    <w:rsid w:val="004B2B6B"/>
    <w:rsid w:val="004D2BDF"/>
    <w:rsid w:val="004F7F38"/>
    <w:rsid w:val="005132D6"/>
    <w:rsid w:val="00517DD9"/>
    <w:rsid w:val="0053301F"/>
    <w:rsid w:val="005572BD"/>
    <w:rsid w:val="00564D22"/>
    <w:rsid w:val="005967EE"/>
    <w:rsid w:val="005A6DD1"/>
    <w:rsid w:val="005C5E3A"/>
    <w:rsid w:val="005C707A"/>
    <w:rsid w:val="005E324D"/>
    <w:rsid w:val="00654EB8"/>
    <w:rsid w:val="006578BE"/>
    <w:rsid w:val="006661DE"/>
    <w:rsid w:val="006D6BA3"/>
    <w:rsid w:val="00712B5F"/>
    <w:rsid w:val="00724071"/>
    <w:rsid w:val="007402F3"/>
    <w:rsid w:val="007807CD"/>
    <w:rsid w:val="007C019E"/>
    <w:rsid w:val="007C1EAE"/>
    <w:rsid w:val="007E6B97"/>
    <w:rsid w:val="007F0115"/>
    <w:rsid w:val="00801D07"/>
    <w:rsid w:val="0080619E"/>
    <w:rsid w:val="008238E7"/>
    <w:rsid w:val="0083025B"/>
    <w:rsid w:val="008A5A30"/>
    <w:rsid w:val="008E6B34"/>
    <w:rsid w:val="0090755C"/>
    <w:rsid w:val="00913DDD"/>
    <w:rsid w:val="009251B1"/>
    <w:rsid w:val="009449B1"/>
    <w:rsid w:val="009547FE"/>
    <w:rsid w:val="009A124B"/>
    <w:rsid w:val="009A5B4C"/>
    <w:rsid w:val="009A615B"/>
    <w:rsid w:val="009C7924"/>
    <w:rsid w:val="00A36E89"/>
    <w:rsid w:val="00A44782"/>
    <w:rsid w:val="00A511E8"/>
    <w:rsid w:val="00A55005"/>
    <w:rsid w:val="00A602C5"/>
    <w:rsid w:val="00A61CF1"/>
    <w:rsid w:val="00A67F62"/>
    <w:rsid w:val="00AD04FD"/>
    <w:rsid w:val="00AD19B4"/>
    <w:rsid w:val="00AF3799"/>
    <w:rsid w:val="00B056A3"/>
    <w:rsid w:val="00B06AE7"/>
    <w:rsid w:val="00B13513"/>
    <w:rsid w:val="00B13F21"/>
    <w:rsid w:val="00B34AC1"/>
    <w:rsid w:val="00B508E2"/>
    <w:rsid w:val="00B86AFA"/>
    <w:rsid w:val="00B87431"/>
    <w:rsid w:val="00B95F24"/>
    <w:rsid w:val="00BA5D81"/>
    <w:rsid w:val="00BB5CD3"/>
    <w:rsid w:val="00BB73DE"/>
    <w:rsid w:val="00BC5DF0"/>
    <w:rsid w:val="00BC7114"/>
    <w:rsid w:val="00BD1968"/>
    <w:rsid w:val="00BD24D2"/>
    <w:rsid w:val="00BE4851"/>
    <w:rsid w:val="00C00C22"/>
    <w:rsid w:val="00C155EE"/>
    <w:rsid w:val="00C21750"/>
    <w:rsid w:val="00C440EA"/>
    <w:rsid w:val="00C51860"/>
    <w:rsid w:val="00C54FB7"/>
    <w:rsid w:val="00C558A8"/>
    <w:rsid w:val="00C6245E"/>
    <w:rsid w:val="00C62E87"/>
    <w:rsid w:val="00C935B7"/>
    <w:rsid w:val="00CA6BEF"/>
    <w:rsid w:val="00CB0B14"/>
    <w:rsid w:val="00CE4A54"/>
    <w:rsid w:val="00D0519B"/>
    <w:rsid w:val="00D067D1"/>
    <w:rsid w:val="00D1146D"/>
    <w:rsid w:val="00D17E4F"/>
    <w:rsid w:val="00D207E9"/>
    <w:rsid w:val="00D2197E"/>
    <w:rsid w:val="00D32283"/>
    <w:rsid w:val="00D33CA3"/>
    <w:rsid w:val="00D51BDF"/>
    <w:rsid w:val="00D60AD1"/>
    <w:rsid w:val="00D73D53"/>
    <w:rsid w:val="00D86E44"/>
    <w:rsid w:val="00D9152C"/>
    <w:rsid w:val="00DB658C"/>
    <w:rsid w:val="00DB74C2"/>
    <w:rsid w:val="00DE1FA5"/>
    <w:rsid w:val="00DF7490"/>
    <w:rsid w:val="00E014D1"/>
    <w:rsid w:val="00E05C1E"/>
    <w:rsid w:val="00E10FF8"/>
    <w:rsid w:val="00E2049A"/>
    <w:rsid w:val="00E25D7A"/>
    <w:rsid w:val="00E32733"/>
    <w:rsid w:val="00E45CB3"/>
    <w:rsid w:val="00E53A2A"/>
    <w:rsid w:val="00E70E79"/>
    <w:rsid w:val="00E86711"/>
    <w:rsid w:val="00E94D1D"/>
    <w:rsid w:val="00EA40E0"/>
    <w:rsid w:val="00EC2F02"/>
    <w:rsid w:val="00ED0EDA"/>
    <w:rsid w:val="00F022B8"/>
    <w:rsid w:val="00F10D2F"/>
    <w:rsid w:val="00F65871"/>
    <w:rsid w:val="00F71128"/>
    <w:rsid w:val="00F74441"/>
    <w:rsid w:val="00F97423"/>
    <w:rsid w:val="00FC2743"/>
    <w:rsid w:val="00FE33D9"/>
    <w:rsid w:val="00FF1DC3"/>
    <w:rsid w:val="00FF21BA"/>
    <w:rsid w:val="00FF5B20"/>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B3E"/>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42B3E"/>
    <w:pPr>
      <w:ind w:left="720"/>
    </w:pPr>
  </w:style>
  <w:style w:type="character" w:styleId="Hyperlink">
    <w:name w:val="Hyperlink"/>
    <w:basedOn w:val="DefaultParagraphFont"/>
    <w:uiPriority w:val="99"/>
    <w:rsid w:val="00442B3E"/>
    <w:rPr>
      <w:rFonts w:cs="Times New Roman"/>
      <w:color w:val="0563C1"/>
      <w:u w:val="single"/>
    </w:rPr>
  </w:style>
  <w:style w:type="paragraph" w:styleId="Header">
    <w:name w:val="header"/>
    <w:basedOn w:val="Normal"/>
    <w:link w:val="HeaderChar"/>
    <w:uiPriority w:val="99"/>
    <w:rsid w:val="00442B3E"/>
    <w:pPr>
      <w:tabs>
        <w:tab w:val="center" w:pos="4536"/>
        <w:tab w:val="right" w:pos="9072"/>
      </w:tabs>
      <w:spacing w:after="0" w:line="240" w:lineRule="auto"/>
    </w:pPr>
    <w:rPr>
      <w:sz w:val="20"/>
      <w:szCs w:val="20"/>
      <w:lang w:eastAsia="bg-BG"/>
    </w:rPr>
  </w:style>
  <w:style w:type="character" w:customStyle="1" w:styleId="HeaderChar">
    <w:name w:val="Header Char"/>
    <w:basedOn w:val="DefaultParagraphFont"/>
    <w:link w:val="Header"/>
    <w:uiPriority w:val="99"/>
    <w:locked/>
    <w:rsid w:val="00442B3E"/>
  </w:style>
  <w:style w:type="paragraph" w:styleId="Footer">
    <w:name w:val="footer"/>
    <w:basedOn w:val="Normal"/>
    <w:link w:val="FooterChar"/>
    <w:uiPriority w:val="99"/>
    <w:rsid w:val="00442B3E"/>
    <w:pPr>
      <w:tabs>
        <w:tab w:val="center" w:pos="4536"/>
        <w:tab w:val="right" w:pos="9072"/>
      </w:tabs>
      <w:spacing w:after="0" w:line="240" w:lineRule="auto"/>
    </w:pPr>
    <w:rPr>
      <w:sz w:val="20"/>
      <w:szCs w:val="20"/>
      <w:lang w:eastAsia="bg-BG"/>
    </w:rPr>
  </w:style>
  <w:style w:type="character" w:customStyle="1" w:styleId="FooterChar">
    <w:name w:val="Footer Char"/>
    <w:basedOn w:val="DefaultParagraphFont"/>
    <w:link w:val="Footer"/>
    <w:uiPriority w:val="99"/>
    <w:locked/>
    <w:rsid w:val="00442B3E"/>
  </w:style>
  <w:style w:type="paragraph" w:styleId="FootnoteText">
    <w:name w:val="footnote text"/>
    <w:basedOn w:val="Normal"/>
    <w:link w:val="FootnoteTextChar"/>
    <w:uiPriority w:val="99"/>
    <w:semiHidden/>
    <w:rsid w:val="00442B3E"/>
    <w:pPr>
      <w:spacing w:after="0" w:line="240" w:lineRule="auto"/>
    </w:pPr>
    <w:rPr>
      <w:sz w:val="20"/>
      <w:szCs w:val="20"/>
      <w:lang w:eastAsia="bg-BG"/>
    </w:rPr>
  </w:style>
  <w:style w:type="character" w:customStyle="1" w:styleId="FootnoteTextChar">
    <w:name w:val="Footnote Text Char"/>
    <w:basedOn w:val="DefaultParagraphFont"/>
    <w:link w:val="FootnoteText"/>
    <w:uiPriority w:val="99"/>
    <w:semiHidden/>
    <w:locked/>
    <w:rsid w:val="00442B3E"/>
    <w:rPr>
      <w:sz w:val="20"/>
    </w:rPr>
  </w:style>
  <w:style w:type="character" w:styleId="FootnoteReference">
    <w:name w:val="footnote reference"/>
    <w:aliases w:val="Footnote symbol,Appel note de bas de p,SUPERS,Nota,(NECG) Footnote Reference,Voetnootverwijzing,ftref,BVI fnr,Footnote,Footnote Reference Superscript,Lábjegyzet-hivatkozás,L?bjegyzet-hivatkoz?s,Char1 Char Char Char Char,Times 10 Poin"/>
    <w:basedOn w:val="DefaultParagraphFont"/>
    <w:uiPriority w:val="99"/>
    <w:semiHidden/>
    <w:rsid w:val="00442B3E"/>
    <w:rPr>
      <w:rFonts w:cs="Times New Roman"/>
      <w:vertAlign w:val="superscript"/>
    </w:rPr>
  </w:style>
  <w:style w:type="character" w:customStyle="1" w:styleId="EndnoteTextChar">
    <w:name w:val="Endnote Text Char"/>
    <w:link w:val="EndnoteText"/>
    <w:uiPriority w:val="99"/>
    <w:semiHidden/>
    <w:locked/>
    <w:rsid w:val="00442B3E"/>
    <w:rPr>
      <w:sz w:val="20"/>
    </w:rPr>
  </w:style>
  <w:style w:type="paragraph" w:styleId="EndnoteText">
    <w:name w:val="endnote text"/>
    <w:basedOn w:val="Normal"/>
    <w:link w:val="EndnoteTextChar"/>
    <w:uiPriority w:val="99"/>
    <w:semiHidden/>
    <w:rsid w:val="00442B3E"/>
    <w:pPr>
      <w:spacing w:after="0" w:line="240" w:lineRule="auto"/>
    </w:pPr>
    <w:rPr>
      <w:sz w:val="20"/>
      <w:szCs w:val="20"/>
      <w:lang w:eastAsia="bg-BG"/>
    </w:rPr>
  </w:style>
  <w:style w:type="character" w:customStyle="1" w:styleId="EndnoteTextChar1">
    <w:name w:val="Endnote Text Char1"/>
    <w:basedOn w:val="DefaultParagraphFont"/>
    <w:link w:val="EndnoteText"/>
    <w:uiPriority w:val="99"/>
    <w:semiHidden/>
    <w:rPr>
      <w:sz w:val="20"/>
      <w:lang w:eastAsia="en-US"/>
    </w:rPr>
  </w:style>
  <w:style w:type="paragraph" w:customStyle="1" w:styleId="zab">
    <w:name w:val="zab"/>
    <w:basedOn w:val="Normal"/>
    <w:uiPriority w:val="99"/>
    <w:rsid w:val="00442B3E"/>
    <w:pPr>
      <w:autoSpaceDE w:val="0"/>
      <w:autoSpaceDN w:val="0"/>
      <w:adjustRightInd w:val="0"/>
      <w:spacing w:after="0" w:line="288" w:lineRule="auto"/>
      <w:ind w:firstLine="283"/>
      <w:jc w:val="both"/>
    </w:pPr>
    <w:rPr>
      <w:rFonts w:ascii="SP_Time" w:eastAsia="Times New Roman" w:hAnsi="SP_Time" w:cs="SP_Time"/>
      <w:color w:val="000000"/>
      <w:sz w:val="18"/>
      <w:szCs w:val="18"/>
      <w:lang w:val="ru-RU" w:eastAsia="bg-BG"/>
    </w:rPr>
  </w:style>
  <w:style w:type="character" w:styleId="Emphasis">
    <w:name w:val="Emphasis"/>
    <w:basedOn w:val="DefaultParagraphFont"/>
    <w:uiPriority w:val="99"/>
    <w:qFormat/>
    <w:rsid w:val="00442B3E"/>
    <w:rPr>
      <w:rFonts w:cs="Times New Roman"/>
      <w:i/>
    </w:rPr>
  </w:style>
  <w:style w:type="paragraph" w:customStyle="1" w:styleId="c01pointnumerotealtn">
    <w:name w:val="c01pointnumerotealtn"/>
    <w:basedOn w:val="Normal"/>
    <w:uiPriority w:val="99"/>
    <w:rsid w:val="00442B3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i-art">
    <w:name w:val="ti-art"/>
    <w:basedOn w:val="Normal"/>
    <w:uiPriority w:val="99"/>
    <w:rsid w:val="00442B3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ti-art">
    <w:name w:val="sti-art"/>
    <w:basedOn w:val="Normal"/>
    <w:uiPriority w:val="99"/>
    <w:rsid w:val="00442B3E"/>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p-normal">
    <w:name w:val="sp-normal"/>
    <w:uiPriority w:val="99"/>
    <w:rsid w:val="00442B3E"/>
  </w:style>
  <w:style w:type="paragraph" w:customStyle="1" w:styleId="Normal1">
    <w:name w:val="Normal1"/>
    <w:basedOn w:val="Normal"/>
    <w:uiPriority w:val="99"/>
    <w:rsid w:val="00442B3E"/>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99"/>
    <w:qFormat/>
    <w:rsid w:val="00442B3E"/>
    <w:rPr>
      <w:rFonts w:cs="Times New Roman"/>
      <w:b/>
    </w:rPr>
  </w:style>
  <w:style w:type="paragraph" w:customStyle="1" w:styleId="BasicParagraph">
    <w:name w:val="[Basic Paragraph]"/>
    <w:basedOn w:val="Normal"/>
    <w:uiPriority w:val="99"/>
    <w:rsid w:val="00376118"/>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bg-BG"/>
    </w:rPr>
  </w:style>
  <w:style w:type="paragraph" w:customStyle="1" w:styleId="doc-ti">
    <w:name w:val="doc-ti"/>
    <w:basedOn w:val="Normal"/>
    <w:uiPriority w:val="99"/>
    <w:rsid w:val="00376118"/>
    <w:pPr>
      <w:spacing w:before="100" w:beforeAutospacing="1" w:after="100" w:afterAutospacing="1" w:line="240" w:lineRule="auto"/>
    </w:pPr>
    <w:rPr>
      <w:rFonts w:ascii="Times New Roman" w:eastAsia="Times New Roman" w:hAnsi="Times New Roman"/>
      <w:sz w:val="24"/>
      <w:szCs w:val="24"/>
      <w:lang w:val="en-US"/>
    </w:rPr>
  </w:style>
  <w:style w:type="table" w:styleId="TableGrid">
    <w:name w:val="Table Grid"/>
    <w:basedOn w:val="TableNormal"/>
    <w:uiPriority w:val="99"/>
    <w:rsid w:val="00BD24D2"/>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2alineaalta">
    <w:name w:val="c02alineaalta"/>
    <w:basedOn w:val="Normal"/>
    <w:uiPriority w:val="99"/>
    <w:rsid w:val="00BD24D2"/>
    <w:pPr>
      <w:spacing w:before="100" w:beforeAutospacing="1" w:after="100" w:afterAutospacing="1" w:line="240" w:lineRule="auto"/>
    </w:pPr>
    <w:rPr>
      <w:rFonts w:ascii="Times New Roman" w:eastAsia="Times New Roman" w:hAnsi="Times New Roman"/>
      <w:sz w:val="24"/>
      <w:szCs w:val="24"/>
      <w:lang w:val="en-US"/>
    </w:rPr>
  </w:style>
  <w:style w:type="character" w:styleId="FollowedHyperlink">
    <w:name w:val="FollowedHyperlink"/>
    <w:basedOn w:val="DefaultParagraphFont"/>
    <w:uiPriority w:val="99"/>
    <w:semiHidden/>
    <w:rsid w:val="00712B5F"/>
    <w:rPr>
      <w:rFonts w:cs="Times New Roman"/>
      <w:color w:val="800080"/>
      <w:u w:val="single"/>
    </w:rPr>
  </w:style>
  <w:style w:type="paragraph" w:styleId="NormalWeb">
    <w:name w:val="Normal (Web)"/>
    <w:basedOn w:val="Normal"/>
    <w:uiPriority w:val="99"/>
    <w:semiHidden/>
    <w:rsid w:val="00B87431"/>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uria.europa.eu/juris/document/document.jsf?text=&amp;docid=149921&amp;pageIndex=0&amp;doclang=bg&amp;mode=lst&amp;dir=&amp;occ=first&amp;part=1&amp;cid=92414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unece.org/env/pp/contentofaarhus.html" TargetMode="External"/><Relationship Id="rId13" Type="http://schemas.openxmlformats.org/officeDocument/2006/relationships/hyperlink" Target="https://check.nra.bg/" TargetMode="External"/><Relationship Id="rId18" Type="http://schemas.openxmlformats.org/officeDocument/2006/relationships/hyperlink" Target="https://www.legifrance.gouv.fr/affichTexte.do?cidTexte=JORFTEXT000033558528&amp;categorieLien=id" TargetMode="External"/><Relationship Id="rId3" Type="http://schemas.openxmlformats.org/officeDocument/2006/relationships/hyperlink" Target="https://ec.europa.eu/info/strategy/eu-budget_en" TargetMode="External"/><Relationship Id="rId7" Type="http://schemas.openxmlformats.org/officeDocument/2006/relationships/hyperlink" Target="https://www.oecd.org/tax/administration/Taxpayers%27_Rights_and_Obligations-Practice_Note.pdf" TargetMode="External"/><Relationship Id="rId12" Type="http://schemas.openxmlformats.org/officeDocument/2006/relationships/hyperlink" Target="https://www.eatlp.org/congresses/pastcongresses1/308-2018-zuerich" TargetMode="External"/><Relationship Id="rId17" Type="http://schemas.openxmlformats.org/officeDocument/2006/relationships/hyperlink" Target="https://rm.coe.int/16807096c8" TargetMode="External"/><Relationship Id="rId2" Type="http://schemas.openxmlformats.org/officeDocument/2006/relationships/hyperlink" Target="https://www.parliament.bg/bg/plenaryst/ns/6/ID/1222" TargetMode="External"/><Relationship Id="rId16" Type="http://schemas.openxmlformats.org/officeDocument/2006/relationships/hyperlink" Target="https://www.treasury.gov/resource-center/tax-policy/treaties/Pages/FATCA.aspx" TargetMode="External"/><Relationship Id="rId1" Type="http://schemas.openxmlformats.org/officeDocument/2006/relationships/hyperlink" Target="mailto:e.tarhova@minfin.bg" TargetMode="External"/><Relationship Id="rId6" Type="http://schemas.openxmlformats.org/officeDocument/2006/relationships/hyperlink" Target="https://actl.uva.nl/greit/about-greit/about-greit.html" TargetMode="External"/><Relationship Id="rId11" Type="http://schemas.openxmlformats.org/officeDocument/2006/relationships/hyperlink" Target="http://ec.europa.eu/taxation_customs/common/publications/info_docs/taxation/index_en.htm" TargetMode="External"/><Relationship Id="rId5" Type="http://schemas.openxmlformats.org/officeDocument/2006/relationships/hyperlink" Target="https://eur-lex.europa.eu/legal-content/BG/TXT/HTML/?uri=CELEX:12007L/TXT&amp;from=EN" TargetMode="External"/><Relationship Id="rId15" Type="http://schemas.openxmlformats.org/officeDocument/2006/relationships/hyperlink" Target="https://www.wort.lu/fr/economie/le-luxembourg-paradis-fiscal-des-fortunes-allemandes-5cde7839da2cc1784e344404" TargetMode="External"/><Relationship Id="rId10" Type="http://schemas.openxmlformats.org/officeDocument/2006/relationships/hyperlink" Target="http://www.oecd.org/dataoecd/24/52/17851176.pdf" TargetMode="External"/><Relationship Id="rId4" Type="http://schemas.openxmlformats.org/officeDocument/2006/relationships/hyperlink" Target="https://fra.europa.eu/sites/default/files/fra_uploads/fra-2018-charter-guidance_en.pdf" TargetMode="External"/><Relationship Id="rId9" Type="http://schemas.openxmlformats.org/officeDocument/2006/relationships/hyperlink" Target="http://legalworld.bg/34276.koj-shte-pazi-pravata-ni-ot-evropejskiia-syd-po-pravata-na-choveka.html" TargetMode="External"/><Relationship Id="rId14" Type="http://schemas.openxmlformats.org/officeDocument/2006/relationships/hyperlink" Target="https://www.ici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44</Pages>
  <Words>13762</Words>
  <Characters>-32766</Characters>
  <Application>Microsoft Office Outlook</Application>
  <DocSecurity>0</DocSecurity>
  <Lines>0</Lines>
  <Paragraphs>0</Paragraphs>
  <ScaleCrop>false</ScaleCrop>
  <Company>Ministry Of Finance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Актуални въпроси на защитата на правата на човека</dc:title>
  <dc:subject/>
  <dc:creator>Екатерина Тархова</dc:creator>
  <cp:keywords/>
  <dc:description/>
  <cp:lastModifiedBy>eurolaw@abv.bg</cp:lastModifiedBy>
  <cp:revision>2</cp:revision>
  <dcterms:created xsi:type="dcterms:W3CDTF">2019-11-08T08:16:00Z</dcterms:created>
  <dcterms:modified xsi:type="dcterms:W3CDTF">2019-11-08T08:16:00Z</dcterms:modified>
</cp:coreProperties>
</file>