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12"/>
          <w:lang w:val="en-GB"/>
        </w:rPr>
        <w:id w:val="1549253069"/>
        <w:docPartObj>
          <w:docPartGallery w:val="Cover Pages"/>
          <w:docPartUnique/>
        </w:docPartObj>
      </w:sdtPr>
      <w:sdtEndPr>
        <w:rPr>
          <w:b/>
          <w:sz w:val="28"/>
          <w:szCs w:val="28"/>
        </w:rPr>
      </w:sdtEndPr>
      <w:sdtContent>
        <w:p w14:paraId="07118BAA" w14:textId="4CF6ABDA" w:rsidR="00E423A6" w:rsidRPr="006218BC" w:rsidRDefault="00E423A6" w:rsidP="00E0186C">
          <w:pPr>
            <w:jc w:val="both"/>
            <w:rPr>
              <w:sz w:val="12"/>
              <w:lang w:val="en-GB"/>
            </w:rPr>
          </w:pPr>
        </w:p>
        <w:p w14:paraId="47279E73" w14:textId="2F47D859" w:rsidR="00E423A6" w:rsidRPr="006218BC" w:rsidRDefault="00F33324" w:rsidP="00E0186C">
          <w:pPr>
            <w:pBdr>
              <w:left w:val="single" w:sz="24" w:space="4" w:color="8DB3E2" w:themeColor="text2" w:themeTint="66"/>
              <w:bottom w:val="single" w:sz="8" w:space="6" w:color="365F91" w:themeColor="accent1" w:themeShade="BF"/>
            </w:pBdr>
            <w:spacing w:after="60"/>
            <w:jc w:val="both"/>
            <w:rPr>
              <w:rFonts w:asciiTheme="majorHAnsi" w:eastAsiaTheme="majorEastAsia" w:hAnsiTheme="majorHAnsi" w:cstheme="majorBidi"/>
              <w:b/>
              <w:color w:val="365F91" w:themeColor="accent1" w:themeShade="BF"/>
              <w:sz w:val="48"/>
              <w:szCs w:val="48"/>
              <w:lang w:val="en-GB"/>
            </w:rPr>
          </w:pPr>
          <w:sdt>
            <w:sdtPr>
              <w:rPr>
                <w:rFonts w:asciiTheme="majorHAnsi" w:eastAsiaTheme="majorEastAsia" w:hAnsiTheme="majorHAnsi" w:cstheme="majorBidi"/>
                <w:b/>
                <w:color w:val="365F91" w:themeColor="accent1" w:themeShade="BF"/>
                <w:sz w:val="48"/>
                <w:szCs w:val="48"/>
                <w:lang w:val="en-GB"/>
              </w:rPr>
              <w:alias w:val="Titel"/>
              <w:tag w:val=""/>
              <w:id w:val="1786233606"/>
              <w:dataBinding w:prefixMappings="xmlns:ns0='http://purl.org/dc/elements/1.1/' xmlns:ns1='http://schemas.openxmlformats.org/package/2006/metadata/core-properties' " w:xpath="/ns1:coreProperties[1]/ns0:title[1]" w:storeItemID="{6C3C8BC8-F283-45AE-878A-BAB7291924A1}"/>
              <w:text/>
            </w:sdtPr>
            <w:sdtEndPr/>
            <w:sdtContent>
              <w:r w:rsidR="00E423A6" w:rsidRPr="006218BC">
                <w:rPr>
                  <w:rFonts w:asciiTheme="majorHAnsi" w:eastAsiaTheme="majorEastAsia" w:hAnsiTheme="majorHAnsi" w:cstheme="majorBidi"/>
                  <w:b/>
                  <w:color w:val="365F91" w:themeColor="accent1" w:themeShade="BF"/>
                  <w:sz w:val="48"/>
                  <w:szCs w:val="48"/>
                  <w:lang w:val="en-GB"/>
                </w:rPr>
                <w:t>The fundamental rights doctrine of the Court of Justice of the European Union</w:t>
              </w:r>
            </w:sdtContent>
          </w:sdt>
        </w:p>
        <w:sdt>
          <w:sdtPr>
            <w:rPr>
              <w:rFonts w:asciiTheme="majorHAnsi" w:hAnsiTheme="majorHAnsi"/>
              <w:noProof/>
              <w:color w:val="365F91" w:themeColor="accent1" w:themeShade="BF"/>
              <w:sz w:val="36"/>
              <w:szCs w:val="32"/>
              <w:lang w:val="en-GB"/>
            </w:rPr>
            <w:alias w:val="Untertitel"/>
            <w:tag w:val="Untertitel"/>
            <w:id w:val="30555238"/>
            <w:text/>
          </w:sdtPr>
          <w:sdtEndPr/>
          <w:sdtContent>
            <w:p w14:paraId="55F671A4" w14:textId="7CBDC226" w:rsidR="00E423A6" w:rsidRPr="006218BC" w:rsidRDefault="00E423A6" w:rsidP="00E0186C">
              <w:pPr>
                <w:pBdr>
                  <w:left w:val="single" w:sz="24" w:space="4" w:color="8DB3E2" w:themeColor="text2" w:themeTint="66"/>
                  <w:bottom w:val="single" w:sz="8" w:space="6" w:color="365F91" w:themeColor="accent1" w:themeShade="BF"/>
                </w:pBdr>
                <w:contextualSpacing/>
                <w:jc w:val="both"/>
                <w:rPr>
                  <w:rFonts w:asciiTheme="majorHAnsi" w:hAnsiTheme="majorHAnsi"/>
                  <w:noProof/>
                  <w:color w:val="365F91" w:themeColor="accent1" w:themeShade="BF"/>
                  <w:sz w:val="36"/>
                  <w:szCs w:val="32"/>
                  <w:lang w:val="en-GB"/>
                </w:rPr>
              </w:pPr>
              <w:r w:rsidRPr="006218BC">
                <w:rPr>
                  <w:rFonts w:asciiTheme="majorHAnsi" w:hAnsiTheme="majorHAnsi"/>
                  <w:noProof/>
                  <w:color w:val="365F91" w:themeColor="accent1" w:themeShade="BF"/>
                  <w:sz w:val="36"/>
                  <w:szCs w:val="32"/>
                  <w:lang w:val="en-GB"/>
                </w:rPr>
                <w:t xml:space="preserve">A </w:t>
              </w:r>
              <w:r w:rsidR="00A5739A" w:rsidRPr="006218BC">
                <w:rPr>
                  <w:rFonts w:asciiTheme="majorHAnsi" w:hAnsiTheme="majorHAnsi"/>
                  <w:noProof/>
                  <w:color w:val="365F91" w:themeColor="accent1" w:themeShade="BF"/>
                  <w:sz w:val="36"/>
                  <w:szCs w:val="32"/>
                  <w:lang w:val="en-GB"/>
                </w:rPr>
                <w:t>„meta-principle of polit</w:t>
              </w:r>
              <w:r w:rsidR="00F33324">
                <w:rPr>
                  <w:rFonts w:asciiTheme="majorHAnsi" w:hAnsiTheme="majorHAnsi"/>
                  <w:noProof/>
                  <w:color w:val="365F91" w:themeColor="accent1" w:themeShade="BF"/>
                  <w:sz w:val="36"/>
                  <w:szCs w:val="32"/>
                  <w:lang w:val="en-GB"/>
                </w:rPr>
                <w:t>i</w:t>
              </w:r>
              <w:r w:rsidR="00A5739A" w:rsidRPr="006218BC">
                <w:rPr>
                  <w:rFonts w:asciiTheme="majorHAnsi" w:hAnsiTheme="majorHAnsi"/>
                  <w:noProof/>
                  <w:color w:val="365F91" w:themeColor="accent1" w:themeShade="BF"/>
                  <w:sz w:val="36"/>
                  <w:szCs w:val="32"/>
                  <w:lang w:val="en-GB"/>
                </w:rPr>
                <w:t>cal mor</w:t>
              </w:r>
              <w:r w:rsidRPr="006218BC">
                <w:rPr>
                  <w:rFonts w:asciiTheme="majorHAnsi" w:hAnsiTheme="majorHAnsi"/>
                  <w:noProof/>
                  <w:color w:val="365F91" w:themeColor="accent1" w:themeShade="BF"/>
                  <w:sz w:val="36"/>
                  <w:szCs w:val="32"/>
                  <w:lang w:val="en-GB"/>
                </w:rPr>
                <w:t>ality“?</w:t>
              </w:r>
            </w:p>
          </w:sdtContent>
        </w:sdt>
        <w:p w14:paraId="6A728342" w14:textId="020FD896" w:rsidR="00E423A6" w:rsidRPr="006218BC" w:rsidRDefault="00F33324" w:rsidP="00E0186C">
          <w:pPr>
            <w:pBdr>
              <w:left w:val="single" w:sz="24" w:space="4" w:color="D99594" w:themeColor="accent2" w:themeTint="99"/>
            </w:pBdr>
            <w:spacing w:before="120" w:after="120"/>
            <w:jc w:val="both"/>
            <w:rPr>
              <w:rFonts w:asciiTheme="majorHAnsi" w:hAnsiTheme="majorHAnsi"/>
              <w:noProof/>
              <w:color w:val="000000" w:themeColor="text1"/>
              <w:sz w:val="28"/>
              <w:lang w:val="en-GB"/>
            </w:rPr>
          </w:pPr>
          <w:sdt>
            <w:sdtPr>
              <w:rPr>
                <w:rFonts w:asciiTheme="majorHAnsi" w:hAnsiTheme="majorHAnsi"/>
                <w:noProof/>
                <w:color w:val="000000" w:themeColor="text1"/>
                <w:sz w:val="28"/>
                <w:lang w:val="en-GB"/>
              </w:rPr>
              <w:alias w:val="Autor"/>
              <w:id w:val="30555239"/>
              <w:dataBinding w:prefixMappings="xmlns:ns0='http://purl.org/dc/elements/1.1/' xmlns:ns1='http://schemas.openxmlformats.org/package/2006/metadata/core-properties' " w:xpath="/ns1:coreProperties[1]/ns0:creator[1]" w:storeItemID="{6C3C8BC8-F283-45AE-878A-BAB7291924A1}"/>
              <w:text/>
            </w:sdtPr>
            <w:sdtEndPr/>
            <w:sdtContent>
              <w:r w:rsidR="00E423A6" w:rsidRPr="006218BC">
                <w:rPr>
                  <w:rFonts w:asciiTheme="majorHAnsi" w:hAnsiTheme="majorHAnsi"/>
                  <w:noProof/>
                  <w:color w:val="000000" w:themeColor="text1"/>
                  <w:sz w:val="28"/>
                  <w:lang w:val="en-GB"/>
                </w:rPr>
                <w:t>Christoph Gärner</w:t>
              </w:r>
            </w:sdtContent>
          </w:sdt>
        </w:p>
        <w:p w14:paraId="46225D48" w14:textId="77777777" w:rsidR="00E423A6" w:rsidRPr="006218BC" w:rsidRDefault="00E423A6" w:rsidP="00E0186C">
          <w:pPr>
            <w:spacing w:before="4400" w:after="120"/>
            <w:jc w:val="both"/>
            <w:rPr>
              <w:rFonts w:asciiTheme="majorHAnsi" w:hAnsiTheme="majorHAnsi"/>
              <w:b/>
              <w:caps/>
              <w:color w:val="365F91" w:themeColor="accent1" w:themeShade="BF"/>
              <w:sz w:val="28"/>
              <w:szCs w:val="20"/>
              <w:lang w:val="en-GB"/>
            </w:rPr>
          </w:pPr>
          <w:r w:rsidRPr="006218BC">
            <w:rPr>
              <w:rFonts w:asciiTheme="majorHAnsi" w:hAnsiTheme="majorHAnsi"/>
              <w:b/>
              <w:caps/>
              <w:color w:val="365F91" w:themeColor="accent1" w:themeShade="BF"/>
              <w:sz w:val="28"/>
              <w:szCs w:val="20"/>
              <w:lang w:val="en-GB"/>
            </w:rPr>
            <w:t>Exposee</w:t>
          </w:r>
        </w:p>
        <w:sdt>
          <w:sdtPr>
            <w:rPr>
              <w:rFonts w:asciiTheme="majorHAnsi" w:hAnsiTheme="majorHAnsi"/>
              <w:color w:val="000000" w:themeColor="text1"/>
              <w:lang w:val="en-GB"/>
            </w:rPr>
            <w:alias w:val="Exposee"/>
            <w:id w:val="1556273158"/>
            <w:dataBinding w:prefixMappings="xmlns:ns0='http://schemas.microsoft.com/office/2006/coverPageProps' " w:xpath="/ns0:CoverPageProperties[1]/ns0:Abstract[1]" w:storeItemID="{55AF091B-3C7A-41E3-B477-F2FDAA23CFDA}"/>
            <w:text/>
          </w:sdtPr>
          <w:sdtEndPr/>
          <w:sdtContent>
            <w:p w14:paraId="2F6178FC" w14:textId="7DEE1444" w:rsidR="00E423A6" w:rsidRPr="006218BC" w:rsidRDefault="00E423A6" w:rsidP="00E0186C">
              <w:pPr>
                <w:pBdr>
                  <w:left w:val="single" w:sz="24" w:space="4" w:color="8DB3E2" w:themeColor="text2" w:themeTint="66"/>
                </w:pBdr>
                <w:contextualSpacing/>
                <w:jc w:val="both"/>
                <w:rPr>
                  <w:rFonts w:asciiTheme="majorHAnsi" w:hAnsiTheme="majorHAnsi"/>
                  <w:color w:val="000000" w:themeColor="text1"/>
                  <w:lang w:val="en-GB"/>
                </w:rPr>
              </w:pPr>
              <w:r w:rsidRPr="006218BC">
                <w:rPr>
                  <w:rFonts w:asciiTheme="majorHAnsi" w:hAnsiTheme="majorHAnsi"/>
                  <w:color w:val="000000" w:themeColor="text1"/>
                  <w:lang w:val="en-GB"/>
                </w:rPr>
                <w:t>The Court of Justice of the European Union (CJEU</w:t>
              </w:r>
              <w:r w:rsidR="008E48F6">
                <w:rPr>
                  <w:rFonts w:asciiTheme="majorHAnsi" w:hAnsiTheme="majorHAnsi"/>
                  <w:color w:val="000000" w:themeColor="text1"/>
                  <w:lang w:val="en-GB"/>
                </w:rPr>
                <w:t>)</w:t>
              </w:r>
              <w:r w:rsidR="0051303B">
                <w:rPr>
                  <w:rFonts w:asciiTheme="majorHAnsi" w:hAnsiTheme="majorHAnsi"/>
                  <w:color w:val="000000" w:themeColor="text1"/>
                  <w:lang w:val="en-GB"/>
                </w:rPr>
                <w:t>, has developed into</w:t>
              </w:r>
              <w:r w:rsidRPr="006218BC">
                <w:rPr>
                  <w:rFonts w:asciiTheme="majorHAnsi" w:hAnsiTheme="majorHAnsi"/>
                  <w:color w:val="000000" w:themeColor="text1"/>
                  <w:lang w:val="en-GB"/>
                </w:rPr>
                <w:t xml:space="preserve"> the superior authority in the legal order within the European Union (EU). One of the main aspects that factored into accomplishing that mission, was the Courts instrumentally use of “m</w:t>
              </w:r>
              <w:r w:rsidR="00E34904" w:rsidRPr="006218BC">
                <w:rPr>
                  <w:rFonts w:asciiTheme="majorHAnsi" w:hAnsiTheme="majorHAnsi"/>
                  <w:color w:val="000000" w:themeColor="text1"/>
                  <w:lang w:val="en-GB"/>
                </w:rPr>
                <w:t>eta-principles of political mor</w:t>
              </w:r>
              <w:r w:rsidR="006218BC">
                <w:rPr>
                  <w:rFonts w:asciiTheme="majorHAnsi" w:hAnsiTheme="majorHAnsi"/>
                  <w:color w:val="000000" w:themeColor="text1"/>
                  <w:lang w:val="en-GB"/>
                </w:rPr>
                <w:t>ality”</w:t>
              </w:r>
              <w:r w:rsidRPr="006218BC">
                <w:rPr>
                  <w:rFonts w:asciiTheme="majorHAnsi" w:hAnsiTheme="majorHAnsi"/>
                  <w:color w:val="000000" w:themeColor="text1"/>
                  <w:lang w:val="en-GB"/>
                </w:rPr>
                <w:t>, like e.g. the principles of rule of law and/or democracy. This paper claims that the fundamental rights doctrine of t</w:t>
              </w:r>
              <w:r w:rsidR="001B5F5E">
                <w:rPr>
                  <w:rFonts w:asciiTheme="majorHAnsi" w:hAnsiTheme="majorHAnsi"/>
                  <w:color w:val="000000" w:themeColor="text1"/>
                  <w:lang w:val="en-GB"/>
                </w:rPr>
                <w:t xml:space="preserve">he CJEU is also used as such a </w:t>
              </w:r>
              <w:r w:rsidR="00E34904" w:rsidRPr="006218BC">
                <w:rPr>
                  <w:rFonts w:asciiTheme="majorHAnsi" w:hAnsiTheme="majorHAnsi"/>
                  <w:color w:val="000000" w:themeColor="text1"/>
                  <w:lang w:val="en-GB"/>
                </w:rPr>
                <w:t>meta-principle of political mor</w:t>
              </w:r>
              <w:r w:rsidR="001B5F5E">
                <w:rPr>
                  <w:rFonts w:asciiTheme="majorHAnsi" w:hAnsiTheme="majorHAnsi"/>
                  <w:color w:val="000000" w:themeColor="text1"/>
                  <w:lang w:val="en-GB"/>
                </w:rPr>
                <w:t>ality</w:t>
              </w:r>
              <w:r w:rsidR="005B09C8">
                <w:rPr>
                  <w:rFonts w:asciiTheme="majorHAnsi" w:hAnsiTheme="majorHAnsi"/>
                  <w:color w:val="000000" w:themeColor="text1"/>
                  <w:lang w:val="en-GB"/>
                </w:rPr>
                <w:t xml:space="preserve"> and highlights several reasons for its development</w:t>
              </w:r>
              <w:r w:rsidRPr="006218BC">
                <w:rPr>
                  <w:rFonts w:asciiTheme="majorHAnsi" w:hAnsiTheme="majorHAnsi"/>
                  <w:color w:val="000000" w:themeColor="text1"/>
                  <w:lang w:val="en-GB"/>
                </w:rPr>
                <w:t xml:space="preserve">. </w:t>
              </w:r>
            </w:p>
          </w:sdtContent>
        </w:sdt>
        <w:p w14:paraId="496B2F9E" w14:textId="77777777" w:rsidR="00E423A6" w:rsidRPr="006218BC" w:rsidRDefault="00E423A6" w:rsidP="00E0186C">
          <w:pPr>
            <w:jc w:val="both"/>
            <w:rPr>
              <w:lang w:val="en-GB"/>
            </w:rPr>
          </w:pPr>
        </w:p>
        <w:p w14:paraId="0048E1F8" w14:textId="56A682D9" w:rsidR="00E423A6" w:rsidRPr="006218BC" w:rsidRDefault="00E423A6" w:rsidP="00E0186C">
          <w:pPr>
            <w:jc w:val="both"/>
            <w:rPr>
              <w:b/>
              <w:sz w:val="28"/>
              <w:szCs w:val="28"/>
              <w:lang w:val="en-GB"/>
            </w:rPr>
          </w:pPr>
          <w:r w:rsidRPr="006218BC">
            <w:rPr>
              <w:b/>
              <w:sz w:val="28"/>
              <w:szCs w:val="28"/>
              <w:lang w:val="en-GB"/>
            </w:rPr>
            <w:br w:type="page"/>
          </w:r>
        </w:p>
      </w:sdtContent>
    </w:sdt>
    <w:sdt>
      <w:sdtPr>
        <w:rPr>
          <w:rFonts w:ascii="Times New Roman" w:eastAsiaTheme="minorEastAsia" w:hAnsi="Times New Roman" w:cstheme="minorBidi"/>
          <w:b w:val="0"/>
          <w:bCs w:val="0"/>
          <w:color w:val="auto"/>
          <w:sz w:val="24"/>
          <w:szCs w:val="24"/>
          <w:lang w:val="en-GB"/>
        </w:rPr>
        <w:id w:val="588116380"/>
        <w:docPartObj>
          <w:docPartGallery w:val="Table of Contents"/>
          <w:docPartUnique/>
        </w:docPartObj>
      </w:sdtPr>
      <w:sdtEndPr>
        <w:rPr>
          <w:noProof/>
        </w:rPr>
      </w:sdtEndPr>
      <w:sdtContent>
        <w:p w14:paraId="303DDCD9" w14:textId="164CEBF8" w:rsidR="00065339" w:rsidRPr="006218BC" w:rsidRDefault="001F262C" w:rsidP="00E0186C">
          <w:pPr>
            <w:pStyle w:val="Inhaltsverzeichnisberschrift"/>
            <w:jc w:val="both"/>
            <w:rPr>
              <w:lang w:val="en-GB"/>
            </w:rPr>
          </w:pPr>
          <w:r w:rsidRPr="006218BC">
            <w:rPr>
              <w:lang w:val="en-GB"/>
            </w:rPr>
            <w:t>Table of Content</w:t>
          </w:r>
        </w:p>
        <w:p w14:paraId="6761DE1D" w14:textId="77777777" w:rsidR="00001638" w:rsidRPr="006218BC" w:rsidRDefault="00065339">
          <w:pPr>
            <w:pStyle w:val="Verzeichnis1"/>
            <w:tabs>
              <w:tab w:val="right" w:pos="9056"/>
            </w:tabs>
            <w:rPr>
              <w:b w:val="0"/>
              <w:noProof/>
              <w:sz w:val="24"/>
              <w:szCs w:val="24"/>
              <w:lang w:val="en-GB" w:eastAsia="ja-JP"/>
            </w:rPr>
          </w:pPr>
          <w:r w:rsidRPr="006218BC">
            <w:rPr>
              <w:b w:val="0"/>
              <w:lang w:val="en-GB"/>
            </w:rPr>
            <w:fldChar w:fldCharType="begin"/>
          </w:r>
          <w:r w:rsidRPr="006218BC">
            <w:rPr>
              <w:lang w:val="en-GB"/>
            </w:rPr>
            <w:instrText>TOC \o "1-3" \h \z \u</w:instrText>
          </w:r>
          <w:r w:rsidRPr="006218BC">
            <w:rPr>
              <w:b w:val="0"/>
              <w:lang w:val="en-GB"/>
            </w:rPr>
            <w:fldChar w:fldCharType="separate"/>
          </w:r>
          <w:r w:rsidR="00001638" w:rsidRPr="006218BC">
            <w:rPr>
              <w:noProof/>
              <w:lang w:val="en-GB"/>
            </w:rPr>
            <w:t>Introduction</w:t>
          </w:r>
          <w:r w:rsidR="00001638" w:rsidRPr="006218BC">
            <w:rPr>
              <w:noProof/>
              <w:lang w:val="en-GB"/>
            </w:rPr>
            <w:tab/>
          </w:r>
          <w:r w:rsidR="00001638" w:rsidRPr="006218BC">
            <w:rPr>
              <w:noProof/>
              <w:lang w:val="en-GB"/>
            </w:rPr>
            <w:fldChar w:fldCharType="begin"/>
          </w:r>
          <w:r w:rsidR="00001638" w:rsidRPr="006218BC">
            <w:rPr>
              <w:noProof/>
              <w:lang w:val="en-GB"/>
            </w:rPr>
            <w:instrText xml:space="preserve"> PAGEREF _Toc311385406 \h </w:instrText>
          </w:r>
          <w:r w:rsidR="00001638" w:rsidRPr="006218BC">
            <w:rPr>
              <w:noProof/>
              <w:lang w:val="en-GB"/>
            </w:rPr>
          </w:r>
          <w:r w:rsidR="00001638" w:rsidRPr="006218BC">
            <w:rPr>
              <w:noProof/>
              <w:lang w:val="en-GB"/>
            </w:rPr>
            <w:fldChar w:fldCharType="separate"/>
          </w:r>
          <w:r w:rsidR="00001638" w:rsidRPr="006218BC">
            <w:rPr>
              <w:noProof/>
              <w:lang w:val="en-GB"/>
            </w:rPr>
            <w:t>3</w:t>
          </w:r>
          <w:r w:rsidR="00001638" w:rsidRPr="006218BC">
            <w:rPr>
              <w:noProof/>
              <w:lang w:val="en-GB"/>
            </w:rPr>
            <w:fldChar w:fldCharType="end"/>
          </w:r>
        </w:p>
        <w:p w14:paraId="3092FA65" w14:textId="77777777" w:rsidR="00001638" w:rsidRPr="006218BC" w:rsidRDefault="00001638">
          <w:pPr>
            <w:pStyle w:val="Verzeichnis1"/>
            <w:tabs>
              <w:tab w:val="right" w:pos="9056"/>
            </w:tabs>
            <w:rPr>
              <w:b w:val="0"/>
              <w:noProof/>
              <w:sz w:val="24"/>
              <w:szCs w:val="24"/>
              <w:lang w:val="en-GB" w:eastAsia="ja-JP"/>
            </w:rPr>
          </w:pPr>
          <w:r w:rsidRPr="006218BC">
            <w:rPr>
              <w:noProof/>
              <w:lang w:val="en-GB"/>
            </w:rPr>
            <w:t>Historical evolution of the fundamental rights doctrine of the CJEU</w:t>
          </w:r>
          <w:r w:rsidRPr="006218BC">
            <w:rPr>
              <w:noProof/>
              <w:lang w:val="en-GB"/>
            </w:rPr>
            <w:tab/>
          </w:r>
          <w:r w:rsidRPr="006218BC">
            <w:rPr>
              <w:noProof/>
              <w:lang w:val="en-GB"/>
            </w:rPr>
            <w:fldChar w:fldCharType="begin"/>
          </w:r>
          <w:r w:rsidRPr="006218BC">
            <w:rPr>
              <w:noProof/>
              <w:lang w:val="en-GB"/>
            </w:rPr>
            <w:instrText xml:space="preserve"> PAGEREF _Toc311385407 \h </w:instrText>
          </w:r>
          <w:r w:rsidRPr="006218BC">
            <w:rPr>
              <w:noProof/>
              <w:lang w:val="en-GB"/>
            </w:rPr>
          </w:r>
          <w:r w:rsidRPr="006218BC">
            <w:rPr>
              <w:noProof/>
              <w:lang w:val="en-GB"/>
            </w:rPr>
            <w:fldChar w:fldCharType="separate"/>
          </w:r>
          <w:r w:rsidRPr="006218BC">
            <w:rPr>
              <w:noProof/>
              <w:lang w:val="en-GB"/>
            </w:rPr>
            <w:t>4</w:t>
          </w:r>
          <w:r w:rsidRPr="006218BC">
            <w:rPr>
              <w:noProof/>
              <w:lang w:val="en-GB"/>
            </w:rPr>
            <w:fldChar w:fldCharType="end"/>
          </w:r>
        </w:p>
        <w:p w14:paraId="119CB1D6" w14:textId="77777777" w:rsidR="00001638" w:rsidRPr="006218BC" w:rsidRDefault="00001638">
          <w:pPr>
            <w:pStyle w:val="Verzeichnis2"/>
            <w:tabs>
              <w:tab w:val="right" w:pos="9056"/>
            </w:tabs>
            <w:rPr>
              <w:i w:val="0"/>
              <w:noProof/>
              <w:sz w:val="24"/>
              <w:szCs w:val="24"/>
              <w:lang w:val="en-GB" w:eastAsia="ja-JP"/>
            </w:rPr>
          </w:pPr>
          <w:r w:rsidRPr="006218BC">
            <w:rPr>
              <w:noProof/>
              <w:lang w:val="en-GB"/>
            </w:rPr>
            <w:t>A new legal order on the rise: the doctrines of direct effect and primacy</w:t>
          </w:r>
          <w:r w:rsidRPr="006218BC">
            <w:rPr>
              <w:noProof/>
              <w:lang w:val="en-GB"/>
            </w:rPr>
            <w:tab/>
          </w:r>
          <w:r w:rsidRPr="006218BC">
            <w:rPr>
              <w:noProof/>
              <w:lang w:val="en-GB"/>
            </w:rPr>
            <w:fldChar w:fldCharType="begin"/>
          </w:r>
          <w:r w:rsidRPr="006218BC">
            <w:rPr>
              <w:noProof/>
              <w:lang w:val="en-GB"/>
            </w:rPr>
            <w:instrText xml:space="preserve"> PAGEREF _Toc311385408 \h </w:instrText>
          </w:r>
          <w:r w:rsidRPr="006218BC">
            <w:rPr>
              <w:noProof/>
              <w:lang w:val="en-GB"/>
            </w:rPr>
          </w:r>
          <w:r w:rsidRPr="006218BC">
            <w:rPr>
              <w:noProof/>
              <w:lang w:val="en-GB"/>
            </w:rPr>
            <w:fldChar w:fldCharType="separate"/>
          </w:r>
          <w:r w:rsidRPr="006218BC">
            <w:rPr>
              <w:noProof/>
              <w:lang w:val="en-GB"/>
            </w:rPr>
            <w:t>4</w:t>
          </w:r>
          <w:r w:rsidRPr="006218BC">
            <w:rPr>
              <w:noProof/>
              <w:lang w:val="en-GB"/>
            </w:rPr>
            <w:fldChar w:fldCharType="end"/>
          </w:r>
        </w:p>
        <w:p w14:paraId="435F1A9C" w14:textId="77777777" w:rsidR="00001638" w:rsidRPr="006218BC" w:rsidRDefault="00001638">
          <w:pPr>
            <w:pStyle w:val="Verzeichnis2"/>
            <w:tabs>
              <w:tab w:val="right" w:pos="9056"/>
            </w:tabs>
            <w:rPr>
              <w:i w:val="0"/>
              <w:noProof/>
              <w:sz w:val="24"/>
              <w:szCs w:val="24"/>
              <w:lang w:val="en-GB" w:eastAsia="ja-JP"/>
            </w:rPr>
          </w:pPr>
          <w:r w:rsidRPr="006218BC">
            <w:rPr>
              <w:noProof/>
              <w:lang w:val="en-GB"/>
            </w:rPr>
            <w:t>The Clash of the Titans: The Battle of Constitutional Supremacy</w:t>
          </w:r>
          <w:r w:rsidRPr="006218BC">
            <w:rPr>
              <w:noProof/>
              <w:lang w:val="en-GB"/>
            </w:rPr>
            <w:tab/>
          </w:r>
          <w:r w:rsidRPr="006218BC">
            <w:rPr>
              <w:noProof/>
              <w:lang w:val="en-GB"/>
            </w:rPr>
            <w:fldChar w:fldCharType="begin"/>
          </w:r>
          <w:r w:rsidRPr="006218BC">
            <w:rPr>
              <w:noProof/>
              <w:lang w:val="en-GB"/>
            </w:rPr>
            <w:instrText xml:space="preserve"> PAGEREF _Toc311385409 \h </w:instrText>
          </w:r>
          <w:r w:rsidRPr="006218BC">
            <w:rPr>
              <w:noProof/>
              <w:lang w:val="en-GB"/>
            </w:rPr>
          </w:r>
          <w:r w:rsidRPr="006218BC">
            <w:rPr>
              <w:noProof/>
              <w:lang w:val="en-GB"/>
            </w:rPr>
            <w:fldChar w:fldCharType="separate"/>
          </w:r>
          <w:r w:rsidRPr="006218BC">
            <w:rPr>
              <w:noProof/>
              <w:lang w:val="en-GB"/>
            </w:rPr>
            <w:t>7</w:t>
          </w:r>
          <w:r w:rsidRPr="006218BC">
            <w:rPr>
              <w:noProof/>
              <w:lang w:val="en-GB"/>
            </w:rPr>
            <w:fldChar w:fldCharType="end"/>
          </w:r>
        </w:p>
        <w:p w14:paraId="328CB188" w14:textId="77777777" w:rsidR="00001638" w:rsidRPr="006218BC" w:rsidRDefault="00001638">
          <w:pPr>
            <w:pStyle w:val="Verzeichnis2"/>
            <w:tabs>
              <w:tab w:val="right" w:pos="9056"/>
            </w:tabs>
            <w:rPr>
              <w:i w:val="0"/>
              <w:noProof/>
              <w:sz w:val="24"/>
              <w:szCs w:val="24"/>
              <w:lang w:val="en-GB" w:eastAsia="ja-JP"/>
            </w:rPr>
          </w:pPr>
          <w:r w:rsidRPr="006218BC">
            <w:rPr>
              <w:noProof/>
              <w:lang w:val="en-GB"/>
            </w:rPr>
            <w:t>The Introduction of Fundamental Rights as a source of EU law</w:t>
          </w:r>
          <w:r w:rsidRPr="006218BC">
            <w:rPr>
              <w:noProof/>
              <w:lang w:val="en-GB"/>
            </w:rPr>
            <w:tab/>
          </w:r>
          <w:r w:rsidRPr="006218BC">
            <w:rPr>
              <w:noProof/>
              <w:lang w:val="en-GB"/>
            </w:rPr>
            <w:fldChar w:fldCharType="begin"/>
          </w:r>
          <w:r w:rsidRPr="006218BC">
            <w:rPr>
              <w:noProof/>
              <w:lang w:val="en-GB"/>
            </w:rPr>
            <w:instrText xml:space="preserve"> PAGEREF _Toc311385410 \h </w:instrText>
          </w:r>
          <w:r w:rsidRPr="006218BC">
            <w:rPr>
              <w:noProof/>
              <w:lang w:val="en-GB"/>
            </w:rPr>
          </w:r>
          <w:r w:rsidRPr="006218BC">
            <w:rPr>
              <w:noProof/>
              <w:lang w:val="en-GB"/>
            </w:rPr>
            <w:fldChar w:fldCharType="separate"/>
          </w:r>
          <w:r w:rsidRPr="006218BC">
            <w:rPr>
              <w:noProof/>
              <w:lang w:val="en-GB"/>
            </w:rPr>
            <w:t>8</w:t>
          </w:r>
          <w:r w:rsidRPr="006218BC">
            <w:rPr>
              <w:noProof/>
              <w:lang w:val="en-GB"/>
            </w:rPr>
            <w:fldChar w:fldCharType="end"/>
          </w:r>
        </w:p>
        <w:p w14:paraId="5A838698" w14:textId="77777777" w:rsidR="00001638" w:rsidRPr="006218BC" w:rsidRDefault="00001638">
          <w:pPr>
            <w:pStyle w:val="Verzeichnis2"/>
            <w:tabs>
              <w:tab w:val="right" w:pos="9056"/>
            </w:tabs>
            <w:rPr>
              <w:i w:val="0"/>
              <w:noProof/>
              <w:sz w:val="24"/>
              <w:szCs w:val="24"/>
              <w:lang w:val="en-GB" w:eastAsia="ja-JP"/>
            </w:rPr>
          </w:pPr>
          <w:r w:rsidRPr="006218BC">
            <w:rPr>
              <w:noProof/>
              <w:lang w:val="en-GB"/>
            </w:rPr>
            <w:t>The European Union Charter of Fundamental Rights</w:t>
          </w:r>
          <w:r w:rsidRPr="006218BC">
            <w:rPr>
              <w:noProof/>
              <w:lang w:val="en-GB"/>
            </w:rPr>
            <w:tab/>
          </w:r>
          <w:r w:rsidRPr="006218BC">
            <w:rPr>
              <w:noProof/>
              <w:lang w:val="en-GB"/>
            </w:rPr>
            <w:fldChar w:fldCharType="begin"/>
          </w:r>
          <w:r w:rsidRPr="006218BC">
            <w:rPr>
              <w:noProof/>
              <w:lang w:val="en-GB"/>
            </w:rPr>
            <w:instrText xml:space="preserve"> PAGEREF _Toc311385411 \h </w:instrText>
          </w:r>
          <w:r w:rsidRPr="006218BC">
            <w:rPr>
              <w:noProof/>
              <w:lang w:val="en-GB"/>
            </w:rPr>
          </w:r>
          <w:r w:rsidRPr="006218BC">
            <w:rPr>
              <w:noProof/>
              <w:lang w:val="en-GB"/>
            </w:rPr>
            <w:fldChar w:fldCharType="separate"/>
          </w:r>
          <w:r w:rsidRPr="006218BC">
            <w:rPr>
              <w:noProof/>
              <w:lang w:val="en-GB"/>
            </w:rPr>
            <w:t>9</w:t>
          </w:r>
          <w:r w:rsidRPr="006218BC">
            <w:rPr>
              <w:noProof/>
              <w:lang w:val="en-GB"/>
            </w:rPr>
            <w:fldChar w:fldCharType="end"/>
          </w:r>
        </w:p>
        <w:p w14:paraId="02CF6D68" w14:textId="77777777" w:rsidR="00001638" w:rsidRPr="006218BC" w:rsidRDefault="00001638">
          <w:pPr>
            <w:pStyle w:val="Verzeichnis1"/>
            <w:tabs>
              <w:tab w:val="right" w:pos="9056"/>
            </w:tabs>
            <w:rPr>
              <w:b w:val="0"/>
              <w:noProof/>
              <w:sz w:val="24"/>
              <w:szCs w:val="24"/>
              <w:lang w:val="en-GB" w:eastAsia="ja-JP"/>
            </w:rPr>
          </w:pPr>
          <w:r w:rsidRPr="006218BC">
            <w:rPr>
              <w:noProof/>
              <w:lang w:val="en-GB"/>
            </w:rPr>
            <w:t>Reasons for the fundamental rights doctrine</w:t>
          </w:r>
          <w:r w:rsidRPr="006218BC">
            <w:rPr>
              <w:noProof/>
              <w:lang w:val="en-GB"/>
            </w:rPr>
            <w:tab/>
          </w:r>
          <w:r w:rsidRPr="006218BC">
            <w:rPr>
              <w:noProof/>
              <w:lang w:val="en-GB"/>
            </w:rPr>
            <w:fldChar w:fldCharType="begin"/>
          </w:r>
          <w:r w:rsidRPr="006218BC">
            <w:rPr>
              <w:noProof/>
              <w:lang w:val="en-GB"/>
            </w:rPr>
            <w:instrText xml:space="preserve"> PAGEREF _Toc311385412 \h </w:instrText>
          </w:r>
          <w:r w:rsidRPr="006218BC">
            <w:rPr>
              <w:noProof/>
              <w:lang w:val="en-GB"/>
            </w:rPr>
          </w:r>
          <w:r w:rsidRPr="006218BC">
            <w:rPr>
              <w:noProof/>
              <w:lang w:val="en-GB"/>
            </w:rPr>
            <w:fldChar w:fldCharType="separate"/>
          </w:r>
          <w:r w:rsidRPr="006218BC">
            <w:rPr>
              <w:noProof/>
              <w:lang w:val="en-GB"/>
            </w:rPr>
            <w:t>10</w:t>
          </w:r>
          <w:r w:rsidRPr="006218BC">
            <w:rPr>
              <w:noProof/>
              <w:lang w:val="en-GB"/>
            </w:rPr>
            <w:fldChar w:fldCharType="end"/>
          </w:r>
        </w:p>
        <w:p w14:paraId="6AA4EFBE" w14:textId="77777777" w:rsidR="00001638" w:rsidRPr="006218BC" w:rsidRDefault="00001638">
          <w:pPr>
            <w:pStyle w:val="Verzeichnis2"/>
            <w:tabs>
              <w:tab w:val="right" w:pos="9056"/>
            </w:tabs>
            <w:rPr>
              <w:i w:val="0"/>
              <w:noProof/>
              <w:sz w:val="24"/>
              <w:szCs w:val="24"/>
              <w:lang w:val="en-GB" w:eastAsia="ja-JP"/>
            </w:rPr>
          </w:pPr>
          <w:r w:rsidRPr="006218BC">
            <w:rPr>
              <w:noProof/>
              <w:lang w:val="en-GB"/>
            </w:rPr>
            <w:t>The impact of the Bundesverfassungsgericht – “Solange” I and II</w:t>
          </w:r>
          <w:r w:rsidRPr="006218BC">
            <w:rPr>
              <w:noProof/>
              <w:lang w:val="en-GB"/>
            </w:rPr>
            <w:tab/>
          </w:r>
          <w:r w:rsidRPr="006218BC">
            <w:rPr>
              <w:noProof/>
              <w:lang w:val="en-GB"/>
            </w:rPr>
            <w:fldChar w:fldCharType="begin"/>
          </w:r>
          <w:r w:rsidRPr="006218BC">
            <w:rPr>
              <w:noProof/>
              <w:lang w:val="en-GB"/>
            </w:rPr>
            <w:instrText xml:space="preserve"> PAGEREF _Toc311385413 \h </w:instrText>
          </w:r>
          <w:r w:rsidRPr="006218BC">
            <w:rPr>
              <w:noProof/>
              <w:lang w:val="en-GB"/>
            </w:rPr>
          </w:r>
          <w:r w:rsidRPr="006218BC">
            <w:rPr>
              <w:noProof/>
              <w:lang w:val="en-GB"/>
            </w:rPr>
            <w:fldChar w:fldCharType="separate"/>
          </w:r>
          <w:r w:rsidRPr="006218BC">
            <w:rPr>
              <w:noProof/>
              <w:lang w:val="en-GB"/>
            </w:rPr>
            <w:t>10</w:t>
          </w:r>
          <w:r w:rsidRPr="006218BC">
            <w:rPr>
              <w:noProof/>
              <w:lang w:val="en-GB"/>
            </w:rPr>
            <w:fldChar w:fldCharType="end"/>
          </w:r>
        </w:p>
        <w:p w14:paraId="548E385F" w14:textId="77777777" w:rsidR="00001638" w:rsidRPr="006218BC" w:rsidRDefault="00001638">
          <w:pPr>
            <w:pStyle w:val="Verzeichnis2"/>
            <w:tabs>
              <w:tab w:val="right" w:pos="9056"/>
            </w:tabs>
            <w:rPr>
              <w:i w:val="0"/>
              <w:noProof/>
              <w:sz w:val="24"/>
              <w:szCs w:val="24"/>
              <w:lang w:val="en-GB" w:eastAsia="ja-JP"/>
            </w:rPr>
          </w:pPr>
          <w:r w:rsidRPr="006218BC">
            <w:rPr>
              <w:noProof/>
              <w:lang w:val="en-GB"/>
            </w:rPr>
            <w:t>The Bundesverfassungsgericht as a role model for judicial activism</w:t>
          </w:r>
          <w:r w:rsidRPr="006218BC">
            <w:rPr>
              <w:noProof/>
              <w:lang w:val="en-GB"/>
            </w:rPr>
            <w:tab/>
          </w:r>
          <w:r w:rsidRPr="006218BC">
            <w:rPr>
              <w:noProof/>
              <w:lang w:val="en-GB"/>
            </w:rPr>
            <w:fldChar w:fldCharType="begin"/>
          </w:r>
          <w:r w:rsidRPr="006218BC">
            <w:rPr>
              <w:noProof/>
              <w:lang w:val="en-GB"/>
            </w:rPr>
            <w:instrText xml:space="preserve"> PAGEREF _Toc311385414 \h </w:instrText>
          </w:r>
          <w:r w:rsidRPr="006218BC">
            <w:rPr>
              <w:noProof/>
              <w:lang w:val="en-GB"/>
            </w:rPr>
          </w:r>
          <w:r w:rsidRPr="006218BC">
            <w:rPr>
              <w:noProof/>
              <w:lang w:val="en-GB"/>
            </w:rPr>
            <w:fldChar w:fldCharType="separate"/>
          </w:r>
          <w:r w:rsidRPr="006218BC">
            <w:rPr>
              <w:noProof/>
              <w:lang w:val="en-GB"/>
            </w:rPr>
            <w:t>13</w:t>
          </w:r>
          <w:r w:rsidRPr="006218BC">
            <w:rPr>
              <w:noProof/>
              <w:lang w:val="en-GB"/>
            </w:rPr>
            <w:fldChar w:fldCharType="end"/>
          </w:r>
        </w:p>
        <w:p w14:paraId="6F157804" w14:textId="77777777" w:rsidR="00001638" w:rsidRPr="006218BC" w:rsidRDefault="00001638">
          <w:pPr>
            <w:pStyle w:val="Verzeichnis2"/>
            <w:tabs>
              <w:tab w:val="right" w:pos="9056"/>
            </w:tabs>
            <w:rPr>
              <w:i w:val="0"/>
              <w:noProof/>
              <w:sz w:val="24"/>
              <w:szCs w:val="24"/>
              <w:lang w:val="en-GB" w:eastAsia="ja-JP"/>
            </w:rPr>
          </w:pPr>
          <w:r w:rsidRPr="006218BC">
            <w:rPr>
              <w:noProof/>
              <w:lang w:val="en-GB"/>
            </w:rPr>
            <w:t>(Lack of) Constitutional Reform – The Empty Chair Crisis</w:t>
          </w:r>
          <w:r w:rsidRPr="006218BC">
            <w:rPr>
              <w:noProof/>
              <w:lang w:val="en-GB"/>
            </w:rPr>
            <w:tab/>
          </w:r>
          <w:r w:rsidRPr="006218BC">
            <w:rPr>
              <w:noProof/>
              <w:lang w:val="en-GB"/>
            </w:rPr>
            <w:fldChar w:fldCharType="begin"/>
          </w:r>
          <w:r w:rsidRPr="006218BC">
            <w:rPr>
              <w:noProof/>
              <w:lang w:val="en-GB"/>
            </w:rPr>
            <w:instrText xml:space="preserve"> PAGEREF _Toc311385415 \h </w:instrText>
          </w:r>
          <w:r w:rsidRPr="006218BC">
            <w:rPr>
              <w:noProof/>
              <w:lang w:val="en-GB"/>
            </w:rPr>
          </w:r>
          <w:r w:rsidRPr="006218BC">
            <w:rPr>
              <w:noProof/>
              <w:lang w:val="en-GB"/>
            </w:rPr>
            <w:fldChar w:fldCharType="separate"/>
          </w:r>
          <w:r w:rsidRPr="006218BC">
            <w:rPr>
              <w:noProof/>
              <w:lang w:val="en-GB"/>
            </w:rPr>
            <w:t>15</w:t>
          </w:r>
          <w:r w:rsidRPr="006218BC">
            <w:rPr>
              <w:noProof/>
              <w:lang w:val="en-GB"/>
            </w:rPr>
            <w:fldChar w:fldCharType="end"/>
          </w:r>
        </w:p>
        <w:p w14:paraId="25AA13B0" w14:textId="77777777" w:rsidR="00001638" w:rsidRPr="006218BC" w:rsidRDefault="00001638">
          <w:pPr>
            <w:pStyle w:val="Verzeichnis2"/>
            <w:tabs>
              <w:tab w:val="right" w:pos="9056"/>
            </w:tabs>
            <w:rPr>
              <w:i w:val="0"/>
              <w:noProof/>
              <w:sz w:val="24"/>
              <w:szCs w:val="24"/>
              <w:lang w:val="en-GB" w:eastAsia="ja-JP"/>
            </w:rPr>
          </w:pPr>
          <w:r w:rsidRPr="006218BC">
            <w:rPr>
              <w:noProof/>
              <w:lang w:val="en-GB"/>
            </w:rPr>
            <w:t>The Preliminary Ruling Procedure System and Judicial Activism – Correlation or Causation</w:t>
          </w:r>
          <w:r w:rsidRPr="006218BC">
            <w:rPr>
              <w:noProof/>
              <w:lang w:val="en-GB"/>
            </w:rPr>
            <w:tab/>
          </w:r>
          <w:r w:rsidRPr="006218BC">
            <w:rPr>
              <w:noProof/>
              <w:lang w:val="en-GB"/>
            </w:rPr>
            <w:fldChar w:fldCharType="begin"/>
          </w:r>
          <w:r w:rsidRPr="006218BC">
            <w:rPr>
              <w:noProof/>
              <w:lang w:val="en-GB"/>
            </w:rPr>
            <w:instrText xml:space="preserve"> PAGEREF _Toc311385416 \h </w:instrText>
          </w:r>
          <w:r w:rsidRPr="006218BC">
            <w:rPr>
              <w:noProof/>
              <w:lang w:val="en-GB"/>
            </w:rPr>
          </w:r>
          <w:r w:rsidRPr="006218BC">
            <w:rPr>
              <w:noProof/>
              <w:lang w:val="en-GB"/>
            </w:rPr>
            <w:fldChar w:fldCharType="separate"/>
          </w:r>
          <w:r w:rsidRPr="006218BC">
            <w:rPr>
              <w:noProof/>
              <w:lang w:val="en-GB"/>
            </w:rPr>
            <w:t>18</w:t>
          </w:r>
          <w:r w:rsidRPr="006218BC">
            <w:rPr>
              <w:noProof/>
              <w:lang w:val="en-GB"/>
            </w:rPr>
            <w:fldChar w:fldCharType="end"/>
          </w:r>
        </w:p>
        <w:p w14:paraId="08C1FF83" w14:textId="77777777" w:rsidR="00001638" w:rsidRPr="006218BC" w:rsidRDefault="00001638">
          <w:pPr>
            <w:pStyle w:val="Verzeichnis3"/>
            <w:tabs>
              <w:tab w:val="right" w:pos="9056"/>
            </w:tabs>
            <w:rPr>
              <w:noProof/>
              <w:sz w:val="24"/>
              <w:szCs w:val="24"/>
              <w:lang w:val="en-GB" w:eastAsia="ja-JP"/>
            </w:rPr>
          </w:pPr>
          <w:r w:rsidRPr="006218BC">
            <w:rPr>
              <w:noProof/>
              <w:lang w:val="en-GB"/>
            </w:rPr>
            <w:t>The Quantitative Dimension</w:t>
          </w:r>
          <w:r w:rsidRPr="006218BC">
            <w:rPr>
              <w:noProof/>
              <w:lang w:val="en-GB"/>
            </w:rPr>
            <w:tab/>
          </w:r>
          <w:r w:rsidRPr="006218BC">
            <w:rPr>
              <w:noProof/>
              <w:lang w:val="en-GB"/>
            </w:rPr>
            <w:fldChar w:fldCharType="begin"/>
          </w:r>
          <w:r w:rsidRPr="006218BC">
            <w:rPr>
              <w:noProof/>
              <w:lang w:val="en-GB"/>
            </w:rPr>
            <w:instrText xml:space="preserve"> PAGEREF _Toc311385417 \h </w:instrText>
          </w:r>
          <w:r w:rsidRPr="006218BC">
            <w:rPr>
              <w:noProof/>
              <w:lang w:val="en-GB"/>
            </w:rPr>
          </w:r>
          <w:r w:rsidRPr="006218BC">
            <w:rPr>
              <w:noProof/>
              <w:lang w:val="en-GB"/>
            </w:rPr>
            <w:fldChar w:fldCharType="separate"/>
          </w:r>
          <w:r w:rsidRPr="006218BC">
            <w:rPr>
              <w:noProof/>
              <w:lang w:val="en-GB"/>
            </w:rPr>
            <w:t>18</w:t>
          </w:r>
          <w:r w:rsidRPr="006218BC">
            <w:rPr>
              <w:noProof/>
              <w:lang w:val="en-GB"/>
            </w:rPr>
            <w:fldChar w:fldCharType="end"/>
          </w:r>
        </w:p>
        <w:p w14:paraId="1573FD63" w14:textId="77777777" w:rsidR="00001638" w:rsidRPr="006218BC" w:rsidRDefault="00001638">
          <w:pPr>
            <w:pStyle w:val="Verzeichnis3"/>
            <w:tabs>
              <w:tab w:val="right" w:pos="9056"/>
            </w:tabs>
            <w:rPr>
              <w:noProof/>
              <w:sz w:val="24"/>
              <w:szCs w:val="24"/>
              <w:lang w:val="en-GB" w:eastAsia="ja-JP"/>
            </w:rPr>
          </w:pPr>
          <w:r w:rsidRPr="006218BC">
            <w:rPr>
              <w:noProof/>
              <w:lang w:val="en-GB"/>
            </w:rPr>
            <w:t>The Qualitative Dimension</w:t>
          </w:r>
          <w:r w:rsidRPr="006218BC">
            <w:rPr>
              <w:noProof/>
              <w:lang w:val="en-GB"/>
            </w:rPr>
            <w:tab/>
          </w:r>
          <w:r w:rsidRPr="006218BC">
            <w:rPr>
              <w:noProof/>
              <w:lang w:val="en-GB"/>
            </w:rPr>
            <w:fldChar w:fldCharType="begin"/>
          </w:r>
          <w:r w:rsidRPr="006218BC">
            <w:rPr>
              <w:noProof/>
              <w:lang w:val="en-GB"/>
            </w:rPr>
            <w:instrText xml:space="preserve"> PAGEREF _Toc311385418 \h </w:instrText>
          </w:r>
          <w:r w:rsidRPr="006218BC">
            <w:rPr>
              <w:noProof/>
              <w:lang w:val="en-GB"/>
            </w:rPr>
          </w:r>
          <w:r w:rsidRPr="006218BC">
            <w:rPr>
              <w:noProof/>
              <w:lang w:val="en-GB"/>
            </w:rPr>
            <w:fldChar w:fldCharType="separate"/>
          </w:r>
          <w:r w:rsidRPr="006218BC">
            <w:rPr>
              <w:noProof/>
              <w:lang w:val="en-GB"/>
            </w:rPr>
            <w:t>18</w:t>
          </w:r>
          <w:r w:rsidRPr="006218BC">
            <w:rPr>
              <w:noProof/>
              <w:lang w:val="en-GB"/>
            </w:rPr>
            <w:fldChar w:fldCharType="end"/>
          </w:r>
        </w:p>
        <w:p w14:paraId="1DCC8CAB" w14:textId="77777777" w:rsidR="00001638" w:rsidRPr="006218BC" w:rsidRDefault="00001638">
          <w:pPr>
            <w:pStyle w:val="Verzeichnis1"/>
            <w:tabs>
              <w:tab w:val="right" w:pos="9056"/>
            </w:tabs>
            <w:rPr>
              <w:b w:val="0"/>
              <w:noProof/>
              <w:sz w:val="24"/>
              <w:szCs w:val="24"/>
              <w:lang w:val="en-GB" w:eastAsia="ja-JP"/>
            </w:rPr>
          </w:pPr>
          <w:r w:rsidRPr="006218BC">
            <w:rPr>
              <w:noProof/>
              <w:lang w:val="en-GB"/>
            </w:rPr>
            <w:t>Conclusion</w:t>
          </w:r>
          <w:r w:rsidRPr="006218BC">
            <w:rPr>
              <w:noProof/>
              <w:lang w:val="en-GB"/>
            </w:rPr>
            <w:tab/>
          </w:r>
          <w:r w:rsidRPr="006218BC">
            <w:rPr>
              <w:noProof/>
              <w:lang w:val="en-GB"/>
            </w:rPr>
            <w:fldChar w:fldCharType="begin"/>
          </w:r>
          <w:r w:rsidRPr="006218BC">
            <w:rPr>
              <w:noProof/>
              <w:lang w:val="en-GB"/>
            </w:rPr>
            <w:instrText xml:space="preserve"> PAGEREF _Toc311385419 \h </w:instrText>
          </w:r>
          <w:r w:rsidRPr="006218BC">
            <w:rPr>
              <w:noProof/>
              <w:lang w:val="en-GB"/>
            </w:rPr>
          </w:r>
          <w:r w:rsidRPr="006218BC">
            <w:rPr>
              <w:noProof/>
              <w:lang w:val="en-GB"/>
            </w:rPr>
            <w:fldChar w:fldCharType="separate"/>
          </w:r>
          <w:r w:rsidRPr="006218BC">
            <w:rPr>
              <w:noProof/>
              <w:lang w:val="en-GB"/>
            </w:rPr>
            <w:t>21</w:t>
          </w:r>
          <w:r w:rsidRPr="006218BC">
            <w:rPr>
              <w:noProof/>
              <w:lang w:val="en-GB"/>
            </w:rPr>
            <w:fldChar w:fldCharType="end"/>
          </w:r>
        </w:p>
        <w:p w14:paraId="4B3D3D75" w14:textId="77777777" w:rsidR="00001638" w:rsidRPr="006218BC" w:rsidRDefault="00001638">
          <w:pPr>
            <w:pStyle w:val="Verzeichnis1"/>
            <w:tabs>
              <w:tab w:val="right" w:pos="9056"/>
            </w:tabs>
            <w:rPr>
              <w:b w:val="0"/>
              <w:noProof/>
              <w:sz w:val="24"/>
              <w:szCs w:val="24"/>
              <w:lang w:val="en-GB" w:eastAsia="ja-JP"/>
            </w:rPr>
          </w:pPr>
          <w:r w:rsidRPr="006218BC">
            <w:rPr>
              <w:noProof/>
              <w:lang w:val="en-GB"/>
            </w:rPr>
            <w:t>Bibliography</w:t>
          </w:r>
          <w:r w:rsidRPr="006218BC">
            <w:rPr>
              <w:noProof/>
              <w:lang w:val="en-GB"/>
            </w:rPr>
            <w:tab/>
          </w:r>
          <w:r w:rsidRPr="006218BC">
            <w:rPr>
              <w:noProof/>
              <w:lang w:val="en-GB"/>
            </w:rPr>
            <w:fldChar w:fldCharType="begin"/>
          </w:r>
          <w:r w:rsidRPr="006218BC">
            <w:rPr>
              <w:noProof/>
              <w:lang w:val="en-GB"/>
            </w:rPr>
            <w:instrText xml:space="preserve"> PAGEREF _Toc311385420 \h </w:instrText>
          </w:r>
          <w:r w:rsidRPr="006218BC">
            <w:rPr>
              <w:noProof/>
              <w:lang w:val="en-GB"/>
            </w:rPr>
          </w:r>
          <w:r w:rsidRPr="006218BC">
            <w:rPr>
              <w:noProof/>
              <w:lang w:val="en-GB"/>
            </w:rPr>
            <w:fldChar w:fldCharType="separate"/>
          </w:r>
          <w:r w:rsidRPr="006218BC">
            <w:rPr>
              <w:noProof/>
              <w:lang w:val="en-GB"/>
            </w:rPr>
            <w:t>23</w:t>
          </w:r>
          <w:r w:rsidRPr="006218BC">
            <w:rPr>
              <w:noProof/>
              <w:lang w:val="en-GB"/>
            </w:rPr>
            <w:fldChar w:fldCharType="end"/>
          </w:r>
        </w:p>
        <w:p w14:paraId="076B9A55" w14:textId="77777777" w:rsidR="00001638" w:rsidRPr="006218BC" w:rsidRDefault="00001638">
          <w:pPr>
            <w:pStyle w:val="Verzeichnis2"/>
            <w:tabs>
              <w:tab w:val="right" w:pos="9056"/>
            </w:tabs>
            <w:rPr>
              <w:i w:val="0"/>
              <w:noProof/>
              <w:sz w:val="24"/>
              <w:szCs w:val="24"/>
              <w:lang w:val="en-GB" w:eastAsia="ja-JP"/>
            </w:rPr>
          </w:pPr>
          <w:r w:rsidRPr="006218BC">
            <w:rPr>
              <w:noProof/>
              <w:lang w:val="en-GB"/>
            </w:rPr>
            <w:t>Table of Cases, Case Number Order</w:t>
          </w:r>
          <w:r w:rsidRPr="006218BC">
            <w:rPr>
              <w:noProof/>
              <w:lang w:val="en-GB"/>
            </w:rPr>
            <w:tab/>
          </w:r>
          <w:r w:rsidRPr="006218BC">
            <w:rPr>
              <w:noProof/>
              <w:lang w:val="en-GB"/>
            </w:rPr>
            <w:fldChar w:fldCharType="begin"/>
          </w:r>
          <w:r w:rsidRPr="006218BC">
            <w:rPr>
              <w:noProof/>
              <w:lang w:val="en-GB"/>
            </w:rPr>
            <w:instrText xml:space="preserve"> PAGEREF _Toc311385421 \h </w:instrText>
          </w:r>
          <w:r w:rsidRPr="006218BC">
            <w:rPr>
              <w:noProof/>
              <w:lang w:val="en-GB"/>
            </w:rPr>
          </w:r>
          <w:r w:rsidRPr="006218BC">
            <w:rPr>
              <w:noProof/>
              <w:lang w:val="en-GB"/>
            </w:rPr>
            <w:fldChar w:fldCharType="separate"/>
          </w:r>
          <w:r w:rsidRPr="006218BC">
            <w:rPr>
              <w:noProof/>
              <w:lang w:val="en-GB"/>
            </w:rPr>
            <w:t>23</w:t>
          </w:r>
          <w:r w:rsidRPr="006218BC">
            <w:rPr>
              <w:noProof/>
              <w:lang w:val="en-GB"/>
            </w:rPr>
            <w:fldChar w:fldCharType="end"/>
          </w:r>
        </w:p>
        <w:p w14:paraId="460C66C6" w14:textId="77777777" w:rsidR="00001638" w:rsidRPr="006218BC" w:rsidRDefault="00001638">
          <w:pPr>
            <w:pStyle w:val="Verzeichnis2"/>
            <w:tabs>
              <w:tab w:val="right" w:pos="9056"/>
            </w:tabs>
            <w:rPr>
              <w:i w:val="0"/>
              <w:noProof/>
              <w:sz w:val="24"/>
              <w:szCs w:val="24"/>
              <w:lang w:val="en-GB" w:eastAsia="ja-JP"/>
            </w:rPr>
          </w:pPr>
          <w:r w:rsidRPr="006218BC">
            <w:rPr>
              <w:noProof/>
              <w:lang w:val="en-GB"/>
            </w:rPr>
            <w:t>Bibliography, alphabetically</w:t>
          </w:r>
          <w:r w:rsidRPr="006218BC">
            <w:rPr>
              <w:noProof/>
              <w:lang w:val="en-GB"/>
            </w:rPr>
            <w:tab/>
          </w:r>
          <w:r w:rsidRPr="006218BC">
            <w:rPr>
              <w:noProof/>
              <w:lang w:val="en-GB"/>
            </w:rPr>
            <w:fldChar w:fldCharType="begin"/>
          </w:r>
          <w:r w:rsidRPr="006218BC">
            <w:rPr>
              <w:noProof/>
              <w:lang w:val="en-GB"/>
            </w:rPr>
            <w:instrText xml:space="preserve"> PAGEREF _Toc311385422 \h </w:instrText>
          </w:r>
          <w:r w:rsidRPr="006218BC">
            <w:rPr>
              <w:noProof/>
              <w:lang w:val="en-GB"/>
            </w:rPr>
          </w:r>
          <w:r w:rsidRPr="006218BC">
            <w:rPr>
              <w:noProof/>
              <w:lang w:val="en-GB"/>
            </w:rPr>
            <w:fldChar w:fldCharType="separate"/>
          </w:r>
          <w:r w:rsidRPr="006218BC">
            <w:rPr>
              <w:noProof/>
              <w:lang w:val="en-GB"/>
            </w:rPr>
            <w:t>23</w:t>
          </w:r>
          <w:r w:rsidRPr="006218BC">
            <w:rPr>
              <w:noProof/>
              <w:lang w:val="en-GB"/>
            </w:rPr>
            <w:fldChar w:fldCharType="end"/>
          </w:r>
        </w:p>
        <w:p w14:paraId="504E4AD2" w14:textId="3261EC0E" w:rsidR="00065339" w:rsidRPr="006218BC" w:rsidRDefault="00065339" w:rsidP="00E0186C">
          <w:pPr>
            <w:jc w:val="both"/>
            <w:rPr>
              <w:lang w:val="en-GB"/>
            </w:rPr>
          </w:pPr>
          <w:r w:rsidRPr="006218BC">
            <w:rPr>
              <w:b/>
              <w:bCs/>
              <w:noProof/>
              <w:lang w:val="en-GB"/>
            </w:rPr>
            <w:fldChar w:fldCharType="end"/>
          </w:r>
        </w:p>
      </w:sdtContent>
    </w:sdt>
    <w:p w14:paraId="4676464D" w14:textId="77777777" w:rsidR="00B02532" w:rsidRPr="006218BC" w:rsidRDefault="00B02532" w:rsidP="00E0186C">
      <w:pPr>
        <w:spacing w:line="360" w:lineRule="auto"/>
        <w:jc w:val="both"/>
        <w:rPr>
          <w:b/>
          <w:sz w:val="28"/>
          <w:szCs w:val="28"/>
          <w:lang w:val="en-GB"/>
        </w:rPr>
      </w:pPr>
    </w:p>
    <w:p w14:paraId="1685C077" w14:textId="77777777" w:rsidR="001F262C" w:rsidRPr="006218BC" w:rsidRDefault="001F262C" w:rsidP="00E0186C">
      <w:pPr>
        <w:pStyle w:val="berschrift1"/>
        <w:jc w:val="both"/>
        <w:rPr>
          <w:lang w:val="en-GB"/>
        </w:rPr>
      </w:pPr>
      <w:r w:rsidRPr="006218BC">
        <w:rPr>
          <w:lang w:val="en-GB"/>
        </w:rPr>
        <w:br w:type="page"/>
      </w:r>
    </w:p>
    <w:p w14:paraId="43D44A05" w14:textId="7531E75D" w:rsidR="005F42B2" w:rsidRPr="006218BC" w:rsidRDefault="00B02532" w:rsidP="00CD3D33">
      <w:pPr>
        <w:pStyle w:val="berschrift1"/>
        <w:jc w:val="both"/>
        <w:rPr>
          <w:lang w:val="en-GB"/>
        </w:rPr>
      </w:pPr>
      <w:bookmarkStart w:id="0" w:name="_Toc311385406"/>
      <w:r w:rsidRPr="006218BC">
        <w:rPr>
          <w:lang w:val="en-GB"/>
        </w:rPr>
        <w:t>Introduction</w:t>
      </w:r>
      <w:bookmarkEnd w:id="0"/>
    </w:p>
    <w:p w14:paraId="4273C5D3" w14:textId="77777777" w:rsidR="00B02532" w:rsidRPr="006218BC" w:rsidRDefault="00B02532" w:rsidP="00CD3D33">
      <w:pPr>
        <w:spacing w:line="360" w:lineRule="auto"/>
        <w:jc w:val="both"/>
        <w:rPr>
          <w:b/>
          <w:sz w:val="28"/>
          <w:szCs w:val="28"/>
          <w:lang w:val="en-GB"/>
        </w:rPr>
      </w:pPr>
    </w:p>
    <w:p w14:paraId="6F0409F7" w14:textId="2C6E4B75" w:rsidR="000E6300" w:rsidRPr="006218BC" w:rsidRDefault="006218BC" w:rsidP="00CD3D33">
      <w:pPr>
        <w:spacing w:line="360" w:lineRule="auto"/>
        <w:jc w:val="both"/>
        <w:rPr>
          <w:lang w:val="en-GB"/>
        </w:rPr>
      </w:pPr>
      <w:r>
        <w:rPr>
          <w:rFonts w:cs="Times New Roman"/>
          <w:lang w:val="en-GB"/>
        </w:rPr>
        <w:t>The</w:t>
      </w:r>
      <w:r w:rsidR="000E6300" w:rsidRPr="006218BC">
        <w:rPr>
          <w:rFonts w:cs="Times New Roman"/>
          <w:lang w:val="en-GB"/>
        </w:rPr>
        <w:t xml:space="preserve"> Court of Justice of the European Union (CJEU) has developed into</w:t>
      </w:r>
      <w:r w:rsidR="004F2473" w:rsidRPr="006218BC">
        <w:rPr>
          <w:rFonts w:cs="Times New Roman"/>
          <w:lang w:val="en-GB"/>
        </w:rPr>
        <w:t xml:space="preserve"> the</w:t>
      </w:r>
      <w:r w:rsidR="000E6300" w:rsidRPr="006218BC">
        <w:rPr>
          <w:rFonts w:cs="Times New Roman"/>
          <w:lang w:val="en-GB"/>
        </w:rPr>
        <w:t xml:space="preserve"> “</w:t>
      </w:r>
      <w:r w:rsidR="004F2473" w:rsidRPr="006218BC">
        <w:rPr>
          <w:rFonts w:eastAsia="Times New Roman" w:cs="Times New Roman"/>
          <w:lang w:val="en-GB"/>
        </w:rPr>
        <w:t>most influential intern</w:t>
      </w:r>
      <w:r>
        <w:rPr>
          <w:rFonts w:eastAsia="Times New Roman" w:cs="Times New Roman"/>
          <w:lang w:val="en-GB"/>
        </w:rPr>
        <w:t>ational legal body in existence</w:t>
      </w:r>
      <w:r w:rsidR="000E6300" w:rsidRPr="006218BC">
        <w:rPr>
          <w:lang w:val="en-GB"/>
        </w:rPr>
        <w:t>“</w:t>
      </w:r>
      <w:r w:rsidR="000E6300" w:rsidRPr="006218BC">
        <w:rPr>
          <w:rStyle w:val="Funotenzeichen"/>
          <w:lang w:val="en-GB"/>
        </w:rPr>
        <w:footnoteReference w:id="1"/>
      </w:r>
      <w:r w:rsidR="000E6300" w:rsidRPr="006218BC">
        <w:rPr>
          <w:lang w:val="en-GB"/>
        </w:rPr>
        <w:t xml:space="preserve"> and has established </w:t>
      </w:r>
      <w:r w:rsidR="000E6300" w:rsidRPr="008C7313">
        <w:rPr>
          <w:lang w:val="en-GB"/>
        </w:rPr>
        <w:t>itself</w:t>
      </w:r>
      <w:r w:rsidR="006C6B32" w:rsidRPr="008C7313">
        <w:rPr>
          <w:lang w:val="en-GB"/>
        </w:rPr>
        <w:t xml:space="preserve"> through its own case law</w:t>
      </w:r>
      <w:r w:rsidR="000E6300" w:rsidRPr="006218BC">
        <w:rPr>
          <w:lang w:val="en-GB"/>
        </w:rPr>
        <w:t xml:space="preserve"> as the</w:t>
      </w:r>
      <w:r w:rsidR="00155E87" w:rsidRPr="006218BC">
        <w:rPr>
          <w:lang w:val="en-GB"/>
        </w:rPr>
        <w:t xml:space="preserve"> one</w:t>
      </w:r>
      <w:r w:rsidR="000E6300" w:rsidRPr="006218BC">
        <w:rPr>
          <w:lang w:val="en-GB"/>
        </w:rPr>
        <w:t xml:space="preserve"> superior authority in the legal order within the European Union (EU).</w:t>
      </w:r>
    </w:p>
    <w:p w14:paraId="7C2E0C23" w14:textId="77777777" w:rsidR="000E6300" w:rsidRPr="006218BC" w:rsidRDefault="000E6300" w:rsidP="00CD3D33">
      <w:pPr>
        <w:spacing w:line="360" w:lineRule="auto"/>
        <w:jc w:val="both"/>
        <w:rPr>
          <w:lang w:val="en-GB"/>
        </w:rPr>
      </w:pPr>
    </w:p>
    <w:p w14:paraId="43C2EE06" w14:textId="20DC5F99" w:rsidR="00C669A1" w:rsidRPr="006218BC" w:rsidRDefault="006218BC" w:rsidP="00CD3D33">
      <w:pPr>
        <w:spacing w:line="360" w:lineRule="auto"/>
        <w:jc w:val="both"/>
        <w:rPr>
          <w:lang w:val="en-GB"/>
        </w:rPr>
      </w:pPr>
      <w:r>
        <w:rPr>
          <w:lang w:val="en-GB"/>
        </w:rPr>
        <w:t>The</w:t>
      </w:r>
      <w:r w:rsidR="000E6300" w:rsidRPr="006218BC">
        <w:rPr>
          <w:lang w:val="en-GB"/>
        </w:rPr>
        <w:t xml:space="preserve"> Court</w:t>
      </w:r>
      <w:r>
        <w:rPr>
          <w:lang w:val="en-GB"/>
        </w:rPr>
        <w:t>’s instrumental</w:t>
      </w:r>
      <w:r w:rsidR="000E6300" w:rsidRPr="006218BC">
        <w:rPr>
          <w:lang w:val="en-GB"/>
        </w:rPr>
        <w:t xml:space="preserve"> use of “m</w:t>
      </w:r>
      <w:r w:rsidR="00E34904" w:rsidRPr="006218BC">
        <w:rPr>
          <w:lang w:val="en-GB"/>
        </w:rPr>
        <w:t>eta-principles of political mor</w:t>
      </w:r>
      <w:r w:rsidR="000E6300" w:rsidRPr="006218BC">
        <w:rPr>
          <w:lang w:val="en-GB"/>
        </w:rPr>
        <w:t>ality”</w:t>
      </w:r>
      <w:r w:rsidR="00C669A1" w:rsidRPr="006218BC">
        <w:rPr>
          <w:rStyle w:val="Funotenzeichen"/>
          <w:lang w:val="en-GB"/>
        </w:rPr>
        <w:footnoteReference w:id="2"/>
      </w:r>
      <w:r>
        <w:rPr>
          <w:lang w:val="en-GB"/>
        </w:rPr>
        <w:t xml:space="preserve"> helped it achieve this prominence. Such principles, for example</w:t>
      </w:r>
      <w:r w:rsidR="00C669A1" w:rsidRPr="006218BC">
        <w:rPr>
          <w:lang w:val="en-GB"/>
        </w:rPr>
        <w:t xml:space="preserve"> </w:t>
      </w:r>
      <w:r>
        <w:rPr>
          <w:lang w:val="en-GB"/>
        </w:rPr>
        <w:t xml:space="preserve">the rule of law and democracy, </w:t>
      </w:r>
      <w:r w:rsidR="00C669A1" w:rsidRPr="006218BC">
        <w:rPr>
          <w:lang w:val="en-GB"/>
        </w:rPr>
        <w:t>have an arguably settled and widel</w:t>
      </w:r>
      <w:r>
        <w:rPr>
          <w:lang w:val="en-GB"/>
        </w:rPr>
        <w:t>y respected core and therefore serve as</w:t>
      </w:r>
      <w:r w:rsidR="00C669A1" w:rsidRPr="006218BC">
        <w:rPr>
          <w:lang w:val="en-GB"/>
        </w:rPr>
        <w:t>„basic legitimating factors for EU polity and for EU law“.</w:t>
      </w:r>
      <w:r w:rsidR="00C669A1" w:rsidRPr="006218BC">
        <w:rPr>
          <w:rStyle w:val="Funotenzeichen"/>
          <w:lang w:val="en-GB"/>
        </w:rPr>
        <w:footnoteReference w:id="3"/>
      </w:r>
    </w:p>
    <w:p w14:paraId="17A0AB5C" w14:textId="04B6B87C" w:rsidR="000E6300" w:rsidRPr="006218BC" w:rsidRDefault="000E6300" w:rsidP="00CD3D33">
      <w:pPr>
        <w:spacing w:line="360" w:lineRule="auto"/>
        <w:jc w:val="both"/>
        <w:rPr>
          <w:rFonts w:cs="Times New Roman"/>
          <w:lang w:val="en-GB"/>
        </w:rPr>
      </w:pPr>
    </w:p>
    <w:p w14:paraId="524B6CB1" w14:textId="5BAF3F06" w:rsidR="00C669A1" w:rsidRPr="006218BC" w:rsidRDefault="00C669A1" w:rsidP="00CD3D33">
      <w:pPr>
        <w:spacing w:line="360" w:lineRule="auto"/>
        <w:jc w:val="both"/>
        <w:rPr>
          <w:rFonts w:cs="Times New Roman"/>
          <w:lang w:val="en-GB"/>
        </w:rPr>
      </w:pPr>
      <w:r w:rsidRPr="006218BC">
        <w:rPr>
          <w:rFonts w:cs="Times New Roman"/>
          <w:lang w:val="en-GB"/>
        </w:rPr>
        <w:t xml:space="preserve">This paper </w:t>
      </w:r>
      <w:r w:rsidR="006218BC">
        <w:rPr>
          <w:rFonts w:cs="Times New Roman"/>
          <w:lang w:val="en-GB"/>
        </w:rPr>
        <w:t>argues</w:t>
      </w:r>
      <w:r w:rsidRPr="006218BC">
        <w:rPr>
          <w:rFonts w:cs="Times New Roman"/>
          <w:lang w:val="en-GB"/>
        </w:rPr>
        <w:t xml:space="preserve"> that the</w:t>
      </w:r>
      <w:r w:rsidR="006218BC">
        <w:rPr>
          <w:rFonts w:cs="Times New Roman"/>
          <w:lang w:val="en-GB"/>
        </w:rPr>
        <w:t xml:space="preserve"> Court</w:t>
      </w:r>
      <w:r w:rsidR="006218BC">
        <w:rPr>
          <w:lang w:val="en-GB"/>
        </w:rPr>
        <w:t>’s</w:t>
      </w:r>
      <w:r w:rsidRPr="006218BC">
        <w:rPr>
          <w:rFonts w:cs="Times New Roman"/>
          <w:lang w:val="en-GB"/>
        </w:rPr>
        <w:t xml:space="preserve"> fundamental rights doctrine is </w:t>
      </w:r>
      <w:r w:rsidR="006218BC">
        <w:rPr>
          <w:rFonts w:cs="Times New Roman"/>
          <w:lang w:val="en-GB"/>
        </w:rPr>
        <w:t>one</w:t>
      </w:r>
      <w:r w:rsidRPr="006218BC">
        <w:rPr>
          <w:rFonts w:cs="Times New Roman"/>
          <w:lang w:val="en-GB"/>
        </w:rPr>
        <w:t xml:space="preserve"> such </w:t>
      </w:r>
      <w:r w:rsidR="00A5739A" w:rsidRPr="006218BC">
        <w:rPr>
          <w:rFonts w:cs="Times New Roman"/>
          <w:lang w:val="en-GB"/>
        </w:rPr>
        <w:t>meta-principle of political mor</w:t>
      </w:r>
      <w:r w:rsidR="006218BC">
        <w:rPr>
          <w:rFonts w:cs="Times New Roman"/>
          <w:lang w:val="en-GB"/>
        </w:rPr>
        <w:t>ality. This</w:t>
      </w:r>
      <w:r w:rsidR="00BA742E" w:rsidRPr="006218BC">
        <w:rPr>
          <w:rFonts w:cs="Times New Roman"/>
          <w:lang w:val="en-GB"/>
        </w:rPr>
        <w:t xml:space="preserve"> claim</w:t>
      </w:r>
      <w:r w:rsidR="006218BC">
        <w:rPr>
          <w:rFonts w:cs="Times New Roman"/>
          <w:lang w:val="en-GB"/>
        </w:rPr>
        <w:t xml:space="preserve"> is</w:t>
      </w:r>
      <w:r w:rsidR="00BA742E" w:rsidRPr="006218BC">
        <w:rPr>
          <w:rFonts w:cs="Times New Roman"/>
          <w:lang w:val="en-GB"/>
        </w:rPr>
        <w:t xml:space="preserve"> contrary to </w:t>
      </w:r>
      <w:r w:rsidR="00C031F0" w:rsidRPr="006218BC">
        <w:rPr>
          <w:rFonts w:cs="Times New Roman"/>
          <w:lang w:val="en-GB"/>
        </w:rPr>
        <w:t>Conway’s</w:t>
      </w:r>
      <w:r w:rsidR="00BA742E" w:rsidRPr="006218BC">
        <w:rPr>
          <w:rFonts w:cs="Times New Roman"/>
          <w:lang w:val="en-GB"/>
        </w:rPr>
        <w:t xml:space="preserve"> position</w:t>
      </w:r>
      <w:r w:rsidR="00BA742E" w:rsidRPr="006218BC">
        <w:rPr>
          <w:rStyle w:val="Funotenzeichen"/>
          <w:rFonts w:cs="Times New Roman"/>
          <w:lang w:val="en-GB"/>
        </w:rPr>
        <w:footnoteReference w:id="4"/>
      </w:r>
      <w:r w:rsidR="00B4697D" w:rsidRPr="006218BC">
        <w:rPr>
          <w:rFonts w:cs="Times New Roman"/>
          <w:lang w:val="en-GB"/>
        </w:rPr>
        <w:t xml:space="preserve">, </w:t>
      </w:r>
      <w:r w:rsidR="006218BC">
        <w:rPr>
          <w:rFonts w:cs="Times New Roman"/>
          <w:lang w:val="en-GB"/>
        </w:rPr>
        <w:t>which</w:t>
      </w:r>
      <w:r w:rsidR="00155E87" w:rsidRPr="006218BC">
        <w:rPr>
          <w:rFonts w:cs="Times New Roman"/>
          <w:lang w:val="en-GB"/>
        </w:rPr>
        <w:t xml:space="preserve"> initially introduced that term </w:t>
      </w:r>
      <w:r w:rsidR="008E48F6">
        <w:rPr>
          <w:rFonts w:cs="Times New Roman"/>
          <w:lang w:val="en-GB"/>
        </w:rPr>
        <w:t>concerning</w:t>
      </w:r>
      <w:r w:rsidR="00155E87" w:rsidRPr="006218BC">
        <w:rPr>
          <w:rFonts w:cs="Times New Roman"/>
          <w:lang w:val="en-GB"/>
        </w:rPr>
        <w:t xml:space="preserve"> the jurisdic</w:t>
      </w:r>
      <w:r w:rsidR="006218BC">
        <w:rPr>
          <w:rFonts w:cs="Times New Roman"/>
          <w:lang w:val="en-GB"/>
        </w:rPr>
        <w:t xml:space="preserve">tion of the Court only in regard to the rule of law and democracy. He expressively excluded the fundamental rights doctrine, because the concept of human rights would still be too contested for such use.  </w:t>
      </w:r>
    </w:p>
    <w:p w14:paraId="7438F842" w14:textId="77777777" w:rsidR="001A1CE1" w:rsidRPr="006218BC" w:rsidRDefault="001A1CE1" w:rsidP="00CD3D33">
      <w:pPr>
        <w:spacing w:line="360" w:lineRule="auto"/>
        <w:jc w:val="both"/>
        <w:rPr>
          <w:rFonts w:cs="Times New Roman"/>
          <w:lang w:val="en-GB"/>
        </w:rPr>
      </w:pPr>
    </w:p>
    <w:p w14:paraId="48990146" w14:textId="1ED9B69F" w:rsidR="001A1CE1" w:rsidRPr="006218BC" w:rsidRDefault="00987D8D" w:rsidP="00CD3D33">
      <w:pPr>
        <w:spacing w:line="360" w:lineRule="auto"/>
        <w:jc w:val="both"/>
        <w:rPr>
          <w:rFonts w:eastAsia="Times New Roman" w:cs="Times New Roman"/>
          <w:lang w:val="en-GB"/>
        </w:rPr>
      </w:pPr>
      <w:r>
        <w:rPr>
          <w:rFonts w:cs="Times New Roman"/>
          <w:lang w:val="en-GB"/>
        </w:rPr>
        <w:t>The first chapter illustrates</w:t>
      </w:r>
      <w:r w:rsidR="001A1CE1" w:rsidRPr="006218BC">
        <w:rPr>
          <w:rFonts w:cs="Times New Roman"/>
          <w:lang w:val="en-GB"/>
        </w:rPr>
        <w:t xml:space="preserve"> the historical evolution of the fundamental rights doct</w:t>
      </w:r>
      <w:r>
        <w:rPr>
          <w:rFonts w:cs="Times New Roman"/>
          <w:lang w:val="en-GB"/>
        </w:rPr>
        <w:t xml:space="preserve">rine, highlighting the landmark </w:t>
      </w:r>
      <w:r w:rsidR="001A1CE1" w:rsidRPr="006218BC">
        <w:rPr>
          <w:rFonts w:cs="Times New Roman"/>
          <w:lang w:val="en-GB"/>
        </w:rPr>
        <w:t xml:space="preserve">cases that introduced and established the CJEU as a fundamental rights court. </w:t>
      </w:r>
    </w:p>
    <w:p w14:paraId="29114829" w14:textId="6D11B8BF" w:rsidR="001D1B74" w:rsidRPr="006218BC" w:rsidRDefault="00987D8D" w:rsidP="00CD3D33">
      <w:pPr>
        <w:spacing w:line="360" w:lineRule="auto"/>
        <w:jc w:val="both"/>
        <w:rPr>
          <w:rFonts w:cs="Times New Roman"/>
          <w:lang w:val="en-GB"/>
        </w:rPr>
      </w:pPr>
      <w:r>
        <w:rPr>
          <w:rFonts w:cs="Times New Roman"/>
          <w:lang w:val="en-GB"/>
        </w:rPr>
        <w:t>The second chapter</w:t>
      </w:r>
      <w:r w:rsidR="001A1CE1" w:rsidRPr="006218BC">
        <w:rPr>
          <w:rFonts w:cs="Times New Roman"/>
          <w:lang w:val="en-GB"/>
        </w:rPr>
        <w:t xml:space="preserve"> focuses on the </w:t>
      </w:r>
      <w:r w:rsidR="00155E87" w:rsidRPr="006218BC">
        <w:rPr>
          <w:rFonts w:cs="Times New Roman"/>
          <w:lang w:val="en-GB"/>
        </w:rPr>
        <w:t>background</w:t>
      </w:r>
      <w:r w:rsidR="003E1084" w:rsidRPr="006218BC">
        <w:rPr>
          <w:rFonts w:cs="Times New Roman"/>
          <w:lang w:val="en-GB"/>
        </w:rPr>
        <w:t xml:space="preserve"> and potential reasons for the judicial activism of the Court </w:t>
      </w:r>
      <w:r>
        <w:rPr>
          <w:rFonts w:cs="Times New Roman"/>
          <w:lang w:val="en-GB"/>
        </w:rPr>
        <w:t>and discusses the Court</w:t>
      </w:r>
      <w:r>
        <w:rPr>
          <w:lang w:val="en-GB"/>
        </w:rPr>
        <w:t>’s judicial activism in the context of the legal and political circumstances at the time of its establishment.</w:t>
      </w:r>
    </w:p>
    <w:p w14:paraId="5443AFDC" w14:textId="77777777" w:rsidR="001D1B74" w:rsidRPr="006218BC" w:rsidRDefault="001D1B74" w:rsidP="00CD3D33">
      <w:pPr>
        <w:spacing w:line="360" w:lineRule="auto"/>
        <w:jc w:val="both"/>
        <w:rPr>
          <w:rFonts w:eastAsia="Times New Roman" w:cs="Times New Roman"/>
          <w:lang w:val="en-GB"/>
        </w:rPr>
      </w:pPr>
    </w:p>
    <w:p w14:paraId="1A32B69B" w14:textId="48A7D3F0" w:rsidR="001F262C" w:rsidRPr="006218BC" w:rsidRDefault="00A73423" w:rsidP="00A73423">
      <w:pPr>
        <w:spacing w:line="360" w:lineRule="auto"/>
        <w:jc w:val="both"/>
        <w:rPr>
          <w:rFonts w:eastAsia="Times New Roman" w:cs="Times New Roman"/>
          <w:lang w:val="en-GB"/>
        </w:rPr>
      </w:pPr>
      <w:r w:rsidRPr="006218BC">
        <w:rPr>
          <w:rFonts w:eastAsia="Times New Roman" w:cs="Times New Roman"/>
          <w:lang w:val="en-GB"/>
        </w:rPr>
        <w:t xml:space="preserve">In addition, there is not a single answer that can explain this remarkable phenomenon. The arguments </w:t>
      </w:r>
      <w:r w:rsidR="008E48F6">
        <w:rPr>
          <w:rFonts w:eastAsia="Times New Roman" w:cs="Times New Roman"/>
          <w:lang w:val="en-GB"/>
        </w:rPr>
        <w:t xml:space="preserve">stated in this paper are just a few amongst others that all </w:t>
      </w:r>
      <w:r w:rsidRPr="006218BC">
        <w:rPr>
          <w:rFonts w:eastAsia="Times New Roman" w:cs="Times New Roman"/>
          <w:lang w:val="en-GB"/>
        </w:rPr>
        <w:t>have contributed to the “legally driven constitutional revolution”</w:t>
      </w:r>
      <w:r w:rsidRPr="006218BC">
        <w:rPr>
          <w:rStyle w:val="Funotenzeichen"/>
          <w:rFonts w:eastAsia="Times New Roman" w:cs="Times New Roman"/>
          <w:lang w:val="en-GB"/>
        </w:rPr>
        <w:footnoteReference w:id="5"/>
      </w:r>
      <w:r w:rsidRPr="006218BC">
        <w:rPr>
          <w:rFonts w:eastAsia="Times New Roman" w:cs="Times New Roman"/>
          <w:lang w:val="en-GB"/>
        </w:rPr>
        <w:t xml:space="preserve"> in Europe. </w:t>
      </w:r>
      <w:r w:rsidR="001F262C" w:rsidRPr="006218BC">
        <w:rPr>
          <w:bCs/>
          <w:sz w:val="28"/>
          <w:szCs w:val="28"/>
          <w:lang w:val="en-GB"/>
        </w:rPr>
        <w:br w:type="page"/>
      </w:r>
    </w:p>
    <w:p w14:paraId="60CD6264" w14:textId="7628E6FF" w:rsidR="00E27A22" w:rsidRPr="006218BC" w:rsidRDefault="00BA55B6" w:rsidP="00CD3D33">
      <w:pPr>
        <w:pStyle w:val="berschrift1"/>
        <w:jc w:val="both"/>
        <w:rPr>
          <w:lang w:val="en-GB"/>
        </w:rPr>
      </w:pPr>
      <w:bookmarkStart w:id="1" w:name="_Toc311385407"/>
      <w:r w:rsidRPr="006218BC">
        <w:rPr>
          <w:lang w:val="en-GB"/>
        </w:rPr>
        <w:t>Historical evolution of the fundamental rights doctrine of the CJEU</w:t>
      </w:r>
      <w:bookmarkEnd w:id="1"/>
    </w:p>
    <w:p w14:paraId="424480BA" w14:textId="77777777" w:rsidR="00BA55B6" w:rsidRPr="006218BC" w:rsidRDefault="00BA55B6" w:rsidP="00CD3D33">
      <w:pPr>
        <w:spacing w:line="360" w:lineRule="auto"/>
        <w:jc w:val="both"/>
        <w:rPr>
          <w:lang w:val="en-GB"/>
        </w:rPr>
      </w:pPr>
    </w:p>
    <w:p w14:paraId="5484F245" w14:textId="02691016" w:rsidR="00B21B1F" w:rsidRPr="006218BC" w:rsidRDefault="00BA55B6" w:rsidP="00CD3D33">
      <w:pPr>
        <w:spacing w:line="360" w:lineRule="auto"/>
        <w:jc w:val="both"/>
        <w:rPr>
          <w:lang w:val="en-GB"/>
        </w:rPr>
      </w:pPr>
      <w:r w:rsidRPr="006218BC">
        <w:rPr>
          <w:lang w:val="en-GB"/>
        </w:rPr>
        <w:t xml:space="preserve">In order to understand </w:t>
      </w:r>
      <w:r w:rsidR="00987D8D">
        <w:rPr>
          <w:lang w:val="en-GB"/>
        </w:rPr>
        <w:t>its</w:t>
      </w:r>
      <w:r w:rsidRPr="006218BC">
        <w:rPr>
          <w:lang w:val="en-GB"/>
        </w:rPr>
        <w:t xml:space="preserve"> present role and</w:t>
      </w:r>
      <w:r w:rsidR="00987D8D">
        <w:rPr>
          <w:lang w:val="en-GB"/>
        </w:rPr>
        <w:t xml:space="preserve"> to</w:t>
      </w:r>
      <w:r w:rsidRPr="006218BC">
        <w:rPr>
          <w:lang w:val="en-GB"/>
        </w:rPr>
        <w:t xml:space="preserve"> discuss the future of fundamental rights in EU law, one has to </w:t>
      </w:r>
      <w:r w:rsidR="00987D8D">
        <w:rPr>
          <w:lang w:val="en-GB"/>
        </w:rPr>
        <w:t>understand</w:t>
      </w:r>
      <w:r w:rsidRPr="006218BC">
        <w:rPr>
          <w:lang w:val="en-GB"/>
        </w:rPr>
        <w:t xml:space="preserve"> its past.</w:t>
      </w:r>
      <w:r w:rsidR="00C031F0" w:rsidRPr="006218BC">
        <w:rPr>
          <w:lang w:val="en-GB"/>
        </w:rPr>
        <w:t xml:space="preserve"> The importance of developments </w:t>
      </w:r>
      <w:r w:rsidR="00C031F0" w:rsidRPr="006C6B32">
        <w:rPr>
          <w:color w:val="3366FF"/>
          <w:lang w:val="en-GB"/>
        </w:rPr>
        <w:t xml:space="preserve">in </w:t>
      </w:r>
      <w:r w:rsidR="006C6B32" w:rsidRPr="006C6B32">
        <w:rPr>
          <w:color w:val="3366FF"/>
          <w:lang w:val="en-GB"/>
        </w:rPr>
        <w:t xml:space="preserve">the 1950s and 60s </w:t>
      </w:r>
      <w:r w:rsidR="00987D8D" w:rsidRPr="006C6B32">
        <w:rPr>
          <w:color w:val="3366FF"/>
          <w:lang w:val="en-GB"/>
        </w:rPr>
        <w:t xml:space="preserve">in </w:t>
      </w:r>
      <w:r w:rsidR="00987D8D">
        <w:rPr>
          <w:lang w:val="en-GB"/>
        </w:rPr>
        <w:t>Europe</w:t>
      </w:r>
      <w:r w:rsidR="008E48F6">
        <w:rPr>
          <w:lang w:val="en-GB"/>
        </w:rPr>
        <w:t xml:space="preserve"> cannot be overstated as it</w:t>
      </w:r>
      <w:r w:rsidR="00C031F0" w:rsidRPr="006218BC">
        <w:rPr>
          <w:rFonts w:ascii="Times" w:eastAsia="Times New Roman" w:hAnsi="Times" w:cs="Times New Roman"/>
          <w:sz w:val="20"/>
          <w:szCs w:val="20"/>
          <w:lang w:val="en-GB"/>
        </w:rPr>
        <w:t xml:space="preserve"> „</w:t>
      </w:r>
      <w:r w:rsidR="00C031F0" w:rsidRPr="006218BC">
        <w:rPr>
          <w:lang w:val="en-GB"/>
        </w:rPr>
        <w:t>conditioned all subsequent developments</w:t>
      </w:r>
      <w:r w:rsidR="00987D8D">
        <w:rPr>
          <w:lang w:val="en-GB"/>
        </w:rPr>
        <w:t>”</w:t>
      </w:r>
      <w:r w:rsidR="00987D8D" w:rsidRPr="006218BC">
        <w:rPr>
          <w:rStyle w:val="Funotenzeichen"/>
          <w:lang w:val="en-GB"/>
        </w:rPr>
        <w:footnoteReference w:id="6"/>
      </w:r>
      <w:r w:rsidR="00987D8D">
        <w:rPr>
          <w:lang w:val="en-GB"/>
        </w:rPr>
        <w:t xml:space="preserve"> in the EU and even beyond. </w:t>
      </w:r>
      <w:r w:rsidRPr="006218BC">
        <w:rPr>
          <w:lang w:val="en-GB"/>
        </w:rPr>
        <w:t xml:space="preserve">This chapter considers the development of the fundamental rights doctrine in the case law of the CJEU by </w:t>
      </w:r>
      <w:r w:rsidR="00987D8D">
        <w:rPr>
          <w:lang w:val="en-GB"/>
        </w:rPr>
        <w:t>examining the case history</w:t>
      </w:r>
      <w:r w:rsidRPr="006218BC">
        <w:rPr>
          <w:lang w:val="en-GB"/>
        </w:rPr>
        <w:t xml:space="preserve"> establishing the current state of fundamental rights doctrine.</w:t>
      </w:r>
    </w:p>
    <w:p w14:paraId="0B4F2B2B" w14:textId="484219DB" w:rsidR="00B21B1F" w:rsidRPr="006218BC" w:rsidRDefault="009B440D" w:rsidP="00CD3D33">
      <w:pPr>
        <w:pStyle w:val="berschrift2"/>
        <w:jc w:val="both"/>
        <w:rPr>
          <w:lang w:val="en-GB"/>
        </w:rPr>
      </w:pPr>
      <w:bookmarkStart w:id="2" w:name="_Toc311385408"/>
      <w:r w:rsidRPr="006218BC">
        <w:rPr>
          <w:lang w:val="en-GB"/>
        </w:rPr>
        <w:t xml:space="preserve">A new legal order on the rise: the </w:t>
      </w:r>
      <w:r w:rsidR="00B21B1F" w:rsidRPr="006218BC">
        <w:rPr>
          <w:lang w:val="en-GB"/>
        </w:rPr>
        <w:t>doctrines of direct effect and primacy</w:t>
      </w:r>
      <w:bookmarkEnd w:id="2"/>
    </w:p>
    <w:p w14:paraId="1E3EC779" w14:textId="206838F7" w:rsidR="00BA55B6" w:rsidRDefault="00BA55B6" w:rsidP="00CD3D33">
      <w:pPr>
        <w:spacing w:line="360" w:lineRule="auto"/>
        <w:jc w:val="both"/>
        <w:rPr>
          <w:lang w:val="en-GB"/>
        </w:rPr>
      </w:pPr>
      <w:r w:rsidRPr="006218BC">
        <w:rPr>
          <w:lang w:val="en-GB"/>
        </w:rPr>
        <w:br/>
        <w:t xml:space="preserve">The evolution starts with the claims made in </w:t>
      </w:r>
      <w:r w:rsidRPr="006218BC">
        <w:rPr>
          <w:i/>
          <w:lang w:val="en-GB"/>
        </w:rPr>
        <w:t xml:space="preserve">Van </w:t>
      </w:r>
      <w:proofErr w:type="spellStart"/>
      <w:r w:rsidRPr="006218BC">
        <w:rPr>
          <w:i/>
          <w:lang w:val="en-GB"/>
        </w:rPr>
        <w:t>Gend</w:t>
      </w:r>
      <w:proofErr w:type="spellEnd"/>
      <w:r w:rsidRPr="006218BC">
        <w:rPr>
          <w:i/>
          <w:lang w:val="en-GB"/>
        </w:rPr>
        <w:t xml:space="preserve"> en Loos</w:t>
      </w:r>
      <w:r w:rsidR="00DB44A2" w:rsidRPr="006218BC">
        <w:rPr>
          <w:rStyle w:val="Funotenzeichen"/>
          <w:lang w:val="en-GB"/>
        </w:rPr>
        <w:footnoteReference w:id="7"/>
      </w:r>
      <w:r w:rsidRPr="006218BC">
        <w:rPr>
          <w:lang w:val="en-GB"/>
        </w:rPr>
        <w:t xml:space="preserve"> (</w:t>
      </w:r>
      <w:r w:rsidRPr="006218BC">
        <w:rPr>
          <w:i/>
          <w:lang w:val="en-GB"/>
        </w:rPr>
        <w:t>VGL</w:t>
      </w:r>
      <w:r w:rsidRPr="006218BC">
        <w:rPr>
          <w:lang w:val="en-GB"/>
        </w:rPr>
        <w:t xml:space="preserve">) and </w:t>
      </w:r>
      <w:r w:rsidRPr="006218BC">
        <w:rPr>
          <w:i/>
          <w:lang w:val="en-GB"/>
        </w:rPr>
        <w:t>Costa v ENEL</w:t>
      </w:r>
      <w:r w:rsidR="00DB44A2" w:rsidRPr="006218BC">
        <w:rPr>
          <w:rStyle w:val="Funotenzeichen"/>
          <w:lang w:val="en-GB"/>
        </w:rPr>
        <w:footnoteReference w:id="8"/>
      </w:r>
      <w:r w:rsidRPr="006218BC">
        <w:rPr>
          <w:lang w:val="en-GB"/>
        </w:rPr>
        <w:t xml:space="preserve"> (</w:t>
      </w:r>
      <w:r w:rsidRPr="006218BC">
        <w:rPr>
          <w:i/>
          <w:lang w:val="en-GB"/>
        </w:rPr>
        <w:t>Costa</w:t>
      </w:r>
      <w:r w:rsidRPr="006218BC">
        <w:rPr>
          <w:lang w:val="en-GB"/>
        </w:rPr>
        <w:t xml:space="preserve">) that “EU law is an autonomous legal order which limits national </w:t>
      </w:r>
      <w:r w:rsidR="00C031F0" w:rsidRPr="006218BC">
        <w:rPr>
          <w:lang w:val="en-GB"/>
        </w:rPr>
        <w:t>sovereignty</w:t>
      </w:r>
      <w:r w:rsidRPr="006218BC">
        <w:rPr>
          <w:lang w:val="en-GB"/>
        </w:rPr>
        <w:t>.”</w:t>
      </w:r>
      <w:r w:rsidRPr="006218BC">
        <w:rPr>
          <w:rStyle w:val="Funotenzeichen"/>
          <w:lang w:val="en-GB"/>
        </w:rPr>
        <w:footnoteReference w:id="9"/>
      </w:r>
      <w:r w:rsidR="002342AB">
        <w:rPr>
          <w:lang w:val="en-GB"/>
        </w:rPr>
        <w:t xml:space="preserve"> Even though the</w:t>
      </w:r>
      <w:r w:rsidRPr="006218BC">
        <w:rPr>
          <w:lang w:val="en-GB"/>
        </w:rPr>
        <w:t>se cases did not concern any fundamental rights questions specifically, all aspects of European law share their origins in the principles of direct effect and primacy entrenched by those two mentioned landmark cases.</w:t>
      </w:r>
    </w:p>
    <w:p w14:paraId="1CCE6E9E" w14:textId="77777777" w:rsidR="002342AB" w:rsidRDefault="002342AB" w:rsidP="00CD3D33">
      <w:pPr>
        <w:spacing w:line="360" w:lineRule="auto"/>
        <w:jc w:val="both"/>
        <w:rPr>
          <w:lang w:val="en-GB"/>
        </w:rPr>
      </w:pPr>
    </w:p>
    <w:p w14:paraId="30DBF2B7" w14:textId="0CB9F990" w:rsidR="007528CE" w:rsidRPr="008C7313" w:rsidRDefault="004F140D" w:rsidP="00CD3D33">
      <w:pPr>
        <w:spacing w:line="360" w:lineRule="auto"/>
        <w:jc w:val="both"/>
        <w:rPr>
          <w:lang w:val="en-GB"/>
        </w:rPr>
      </w:pPr>
      <w:r w:rsidRPr="008C7313">
        <w:rPr>
          <w:lang w:val="en-GB"/>
        </w:rPr>
        <w:t>The doctrine of d</w:t>
      </w:r>
      <w:r w:rsidR="002342AB" w:rsidRPr="008C7313">
        <w:rPr>
          <w:lang w:val="en-GB"/>
        </w:rPr>
        <w:t xml:space="preserve">irect effect </w:t>
      </w:r>
      <w:r w:rsidRPr="008C7313">
        <w:rPr>
          <w:lang w:val="en-GB"/>
        </w:rPr>
        <w:t>provides the presumption that clear, precise, and self-sufficient</w:t>
      </w:r>
      <w:r w:rsidR="00253D3D" w:rsidRPr="008C7313">
        <w:rPr>
          <w:rFonts w:cs="Times New Roman"/>
          <w:sz w:val="21"/>
          <w:szCs w:val="21"/>
          <w:lang w:val="en-GB"/>
        </w:rPr>
        <w:t xml:space="preserve"> </w:t>
      </w:r>
      <w:r w:rsidR="00253D3D" w:rsidRPr="008C7313">
        <w:rPr>
          <w:lang w:val="en-GB"/>
        </w:rPr>
        <w:t>legal norms</w:t>
      </w:r>
      <w:r w:rsidRPr="008C7313">
        <w:rPr>
          <w:lang w:val="en-GB"/>
        </w:rPr>
        <w:t xml:space="preserve"> of EU law are directly applicable to all EU citizens and can be invoked by individuals in national courts.</w:t>
      </w:r>
      <w:r w:rsidR="008E48F6" w:rsidRPr="008C7313">
        <w:rPr>
          <w:lang w:val="en-GB"/>
        </w:rPr>
        <w:t xml:space="preserve"> </w:t>
      </w:r>
      <w:r w:rsidR="007528CE" w:rsidRPr="008C7313">
        <w:rPr>
          <w:lang w:val="en-GB"/>
        </w:rPr>
        <w:t xml:space="preserve">With two </w:t>
      </w:r>
      <w:r w:rsidR="00842BBB" w:rsidRPr="008C7313">
        <w:rPr>
          <w:lang w:val="en-GB"/>
        </w:rPr>
        <w:t>autonomous</w:t>
      </w:r>
      <w:r w:rsidR="007528CE" w:rsidRPr="008C7313">
        <w:rPr>
          <w:lang w:val="en-GB"/>
        </w:rPr>
        <w:t xml:space="preserve"> legal orders (national and EU</w:t>
      </w:r>
      <w:r w:rsidR="00842BBB" w:rsidRPr="008C7313">
        <w:rPr>
          <w:lang w:val="en-GB"/>
        </w:rPr>
        <w:t xml:space="preserve"> law</w:t>
      </w:r>
      <w:r w:rsidR="007528CE" w:rsidRPr="008C7313">
        <w:rPr>
          <w:lang w:val="en-GB"/>
        </w:rPr>
        <w:t xml:space="preserve">) in direct effect, conflicts between these laws are bound to happen. </w:t>
      </w:r>
      <w:r w:rsidRPr="008C7313">
        <w:rPr>
          <w:lang w:val="en-GB"/>
        </w:rPr>
        <w:t xml:space="preserve">The doctrine of primacy resolves </w:t>
      </w:r>
      <w:r w:rsidR="007528CE" w:rsidRPr="008C7313">
        <w:rPr>
          <w:lang w:val="en-GB"/>
        </w:rPr>
        <w:t>this</w:t>
      </w:r>
      <w:r w:rsidRPr="008C7313">
        <w:rPr>
          <w:lang w:val="en-GB"/>
        </w:rPr>
        <w:t xml:space="preserve"> problem </w:t>
      </w:r>
      <w:r w:rsidR="007528CE" w:rsidRPr="008C7313">
        <w:rPr>
          <w:lang w:val="en-GB"/>
        </w:rPr>
        <w:t xml:space="preserve">by setting aside national law in favour of EU law. Both these doctrines apply to all EU law, including fundamental rights. If </w:t>
      </w:r>
      <w:r w:rsidR="00842BBB" w:rsidRPr="008C7313">
        <w:rPr>
          <w:lang w:val="en-GB"/>
        </w:rPr>
        <w:t>EU human rights were neither directly applicable nor overriding national law,</w:t>
      </w:r>
      <w:r w:rsidR="007528CE" w:rsidRPr="008C7313">
        <w:rPr>
          <w:lang w:val="en-GB"/>
        </w:rPr>
        <w:t xml:space="preserve"> it would have been impossible for the CJEU to develop its fundamental rights doctrine.</w:t>
      </w:r>
    </w:p>
    <w:p w14:paraId="69774140" w14:textId="77777777" w:rsidR="00BA55B6" w:rsidRPr="006218BC" w:rsidRDefault="00BA55B6" w:rsidP="00CD3D33">
      <w:pPr>
        <w:spacing w:line="360" w:lineRule="auto"/>
        <w:jc w:val="both"/>
        <w:rPr>
          <w:lang w:val="en-GB"/>
        </w:rPr>
      </w:pPr>
    </w:p>
    <w:p w14:paraId="388A79DB" w14:textId="3FA38764" w:rsidR="002342AB" w:rsidRPr="008C7313" w:rsidRDefault="000E08CD" w:rsidP="00022FB4">
      <w:pPr>
        <w:spacing w:line="360" w:lineRule="auto"/>
        <w:jc w:val="both"/>
        <w:rPr>
          <w:lang w:val="en-GB"/>
        </w:rPr>
      </w:pPr>
      <w:r w:rsidRPr="006218BC">
        <w:rPr>
          <w:lang w:val="en-GB"/>
        </w:rPr>
        <w:t xml:space="preserve">Prior to </w:t>
      </w:r>
      <w:r w:rsidRPr="006218BC">
        <w:rPr>
          <w:i/>
          <w:lang w:val="en-GB"/>
        </w:rPr>
        <w:t>VGL</w:t>
      </w:r>
      <w:r w:rsidR="002342AB">
        <w:rPr>
          <w:i/>
          <w:lang w:val="en-GB"/>
        </w:rPr>
        <w:t>,</w:t>
      </w:r>
      <w:r w:rsidRPr="006218BC">
        <w:rPr>
          <w:lang w:val="en-GB"/>
        </w:rPr>
        <w:t xml:space="preserve"> “it was widely assumed that the traditional model of international law, marked by state </w:t>
      </w:r>
      <w:r w:rsidR="00C031F0" w:rsidRPr="006218BC">
        <w:rPr>
          <w:lang w:val="en-GB"/>
        </w:rPr>
        <w:t>sovereignty</w:t>
      </w:r>
      <w:r w:rsidRPr="006218BC">
        <w:rPr>
          <w:lang w:val="en-GB"/>
        </w:rPr>
        <w:t>, would apply to the European Union.”</w:t>
      </w:r>
      <w:r w:rsidRPr="006218BC">
        <w:rPr>
          <w:rStyle w:val="Funotenzeichen"/>
          <w:lang w:val="en-GB"/>
        </w:rPr>
        <w:footnoteReference w:id="10"/>
      </w:r>
      <w:r w:rsidR="00C82CA9" w:rsidRPr="006218BC">
        <w:rPr>
          <w:lang w:val="en-GB"/>
        </w:rPr>
        <w:t xml:space="preserve"> The status of international legal rules within national legal systems was therefore determined only by national constitutions.</w:t>
      </w:r>
      <w:r w:rsidR="00C82CA9" w:rsidRPr="006218BC">
        <w:rPr>
          <w:rStyle w:val="Funotenzeichen"/>
          <w:lang w:val="en-GB"/>
        </w:rPr>
        <w:footnoteReference w:id="11"/>
      </w:r>
      <w:r w:rsidRPr="006218BC">
        <w:rPr>
          <w:lang w:val="en-GB"/>
        </w:rPr>
        <w:t xml:space="preserve"> </w:t>
      </w:r>
      <w:r w:rsidR="00C82CA9" w:rsidRPr="006218BC">
        <w:rPr>
          <w:lang w:val="en-GB"/>
        </w:rPr>
        <w:t>The respective constitutional provisions and traditions</w:t>
      </w:r>
      <w:r w:rsidR="002342AB">
        <w:rPr>
          <w:lang w:val="en-GB"/>
        </w:rPr>
        <w:t xml:space="preserve"> across EU member states</w:t>
      </w:r>
      <w:r w:rsidR="00C82CA9" w:rsidRPr="006218BC">
        <w:rPr>
          <w:lang w:val="en-GB"/>
        </w:rPr>
        <w:t xml:space="preserve"> were diverse.</w:t>
      </w:r>
      <w:r w:rsidR="00022FB4">
        <w:rPr>
          <w:lang w:val="en-GB"/>
        </w:rPr>
        <w:t xml:space="preserve"> </w:t>
      </w:r>
      <w:r w:rsidR="00022FB4" w:rsidRPr="008C7313">
        <w:rPr>
          <w:lang w:val="en-GB"/>
        </w:rPr>
        <w:t>There are two schools of thought regarding the status of international law within the national legal order. The Monistic theory is based on the idea that there is only one legal order, which contains both, national law and international law and one of these items prevails over the other. The issue of supremacy is traditionally resolved in the national constitution. The D</w:t>
      </w:r>
      <w:r w:rsidR="002342AB" w:rsidRPr="008C7313">
        <w:rPr>
          <w:lang w:val="en-GB"/>
        </w:rPr>
        <w:t>ualist</w:t>
      </w:r>
      <w:r w:rsidR="00022FB4" w:rsidRPr="008C7313">
        <w:rPr>
          <w:lang w:val="en-GB"/>
        </w:rPr>
        <w:t xml:space="preserve">ic theory </w:t>
      </w:r>
      <w:r w:rsidR="00D93D0B" w:rsidRPr="008C7313">
        <w:rPr>
          <w:lang w:val="en-GB"/>
        </w:rPr>
        <w:t>claims that both, national law and international law, represent separate system of equal value. In order to apply directly in its internal order, a state needs to implement the international law to the national legal order first. Such transformation usually happens through national legislation.</w:t>
      </w:r>
    </w:p>
    <w:p w14:paraId="0EE926A8" w14:textId="77777777" w:rsidR="002342AB" w:rsidRDefault="002342AB" w:rsidP="00CD3D33">
      <w:pPr>
        <w:spacing w:line="360" w:lineRule="auto"/>
        <w:jc w:val="both"/>
        <w:rPr>
          <w:lang w:val="en-GB"/>
        </w:rPr>
      </w:pPr>
    </w:p>
    <w:p w14:paraId="1F0F1B5B" w14:textId="4AB0996F" w:rsidR="00BA55B6" w:rsidRPr="006218BC" w:rsidRDefault="002342AB" w:rsidP="00CD3D33">
      <w:pPr>
        <w:spacing w:line="360" w:lineRule="auto"/>
        <w:jc w:val="both"/>
        <w:rPr>
          <w:strike/>
          <w:lang w:val="en-GB"/>
        </w:rPr>
      </w:pPr>
      <w:r>
        <w:rPr>
          <w:lang w:val="en-GB"/>
        </w:rPr>
        <w:t>Out of the six member s</w:t>
      </w:r>
      <w:r w:rsidR="009340AE" w:rsidRPr="006218BC">
        <w:rPr>
          <w:lang w:val="en-GB"/>
        </w:rPr>
        <w:t>tates at that time, four (France and the B</w:t>
      </w:r>
      <w:r>
        <w:rPr>
          <w:lang w:val="en-GB"/>
        </w:rPr>
        <w:t>enel</w:t>
      </w:r>
      <w:r w:rsidR="009340AE" w:rsidRPr="006218BC">
        <w:rPr>
          <w:lang w:val="en-GB"/>
        </w:rPr>
        <w:t>ux states) had a monistic view incorporated in their constitution, while only two (Germany and Italy) followed a dualistic approach. While</w:t>
      </w:r>
      <w:r w:rsidR="008E48F6">
        <w:rPr>
          <w:lang w:val="en-GB"/>
        </w:rPr>
        <w:t xml:space="preserve"> the concept of</w:t>
      </w:r>
      <w:r w:rsidR="009340AE" w:rsidRPr="006218BC">
        <w:rPr>
          <w:lang w:val="en-GB"/>
        </w:rPr>
        <w:t xml:space="preserve"> monism describes the idea that self-executing international legal norms are directly </w:t>
      </w:r>
      <w:r w:rsidR="00C031F0" w:rsidRPr="006218BC">
        <w:rPr>
          <w:lang w:val="en-GB"/>
        </w:rPr>
        <w:t>received</w:t>
      </w:r>
      <w:r w:rsidR="009340AE" w:rsidRPr="006218BC">
        <w:rPr>
          <w:lang w:val="en-GB"/>
        </w:rPr>
        <w:t xml:space="preserve"> within national legal order,</w:t>
      </w:r>
      <w:r w:rsidR="008E48F6">
        <w:rPr>
          <w:lang w:val="en-GB"/>
        </w:rPr>
        <w:t xml:space="preserve"> the concept of </w:t>
      </w:r>
      <w:r w:rsidR="009340AE" w:rsidRPr="006218BC">
        <w:rPr>
          <w:lang w:val="en-GB"/>
        </w:rPr>
        <w:t xml:space="preserve">dualism requires national legislation </w:t>
      </w:r>
      <w:r w:rsidR="008E48F6">
        <w:rPr>
          <w:lang w:val="en-GB"/>
        </w:rPr>
        <w:t xml:space="preserve">to </w:t>
      </w:r>
      <w:r w:rsidR="009340AE" w:rsidRPr="006218BC">
        <w:rPr>
          <w:lang w:val="en-GB"/>
        </w:rPr>
        <w:t>incorporate international law into national law in order to be applicable.</w:t>
      </w:r>
      <w:r w:rsidR="009340AE" w:rsidRPr="006218BC">
        <w:rPr>
          <w:rStyle w:val="Funotenzeichen"/>
          <w:lang w:val="en-GB"/>
        </w:rPr>
        <w:footnoteReference w:id="12"/>
      </w:r>
    </w:p>
    <w:p w14:paraId="21992324" w14:textId="77777777" w:rsidR="009340AE" w:rsidRPr="006218BC" w:rsidRDefault="009340AE" w:rsidP="00CD3D33">
      <w:pPr>
        <w:spacing w:line="360" w:lineRule="auto"/>
        <w:jc w:val="both"/>
        <w:rPr>
          <w:lang w:val="en-GB"/>
        </w:rPr>
      </w:pPr>
    </w:p>
    <w:p w14:paraId="15DEF8CA" w14:textId="36CE3D48" w:rsidR="009E6829" w:rsidRPr="006218BC" w:rsidRDefault="002342AB" w:rsidP="00CD3D33">
      <w:pPr>
        <w:spacing w:line="360" w:lineRule="auto"/>
        <w:jc w:val="both"/>
        <w:rPr>
          <w:lang w:val="en-GB"/>
        </w:rPr>
      </w:pPr>
      <w:r w:rsidRPr="00D67B52">
        <w:rPr>
          <w:lang w:val="en-GB"/>
        </w:rPr>
        <w:t>On May 18</w:t>
      </w:r>
      <w:r>
        <w:rPr>
          <w:lang w:val="en-GB"/>
        </w:rPr>
        <w:t>,</w:t>
      </w:r>
      <w:r w:rsidRPr="00630A87">
        <w:rPr>
          <w:lang w:val="en-GB"/>
        </w:rPr>
        <w:t xml:space="preserve"> 1962</w:t>
      </w:r>
      <w:r>
        <w:rPr>
          <w:lang w:val="en-GB"/>
        </w:rPr>
        <w:t xml:space="preserve">, </w:t>
      </w:r>
      <w:r w:rsidR="009340AE" w:rsidRPr="006218BC">
        <w:rPr>
          <w:lang w:val="en-GB"/>
        </w:rPr>
        <w:t xml:space="preserve">the Dutch Supreme Court </w:t>
      </w:r>
      <w:r w:rsidR="00FD49AD" w:rsidRPr="006218BC">
        <w:rPr>
          <w:lang w:val="en-GB"/>
        </w:rPr>
        <w:t>made the first ever preliminary procedure reference under EU law regardin</w:t>
      </w:r>
      <w:r w:rsidR="009E6829" w:rsidRPr="006218BC">
        <w:rPr>
          <w:lang w:val="en-GB"/>
        </w:rPr>
        <w:t xml:space="preserve">g the </w:t>
      </w:r>
      <w:r w:rsidRPr="002342AB">
        <w:rPr>
          <w:i/>
          <w:lang w:val="en-GB"/>
        </w:rPr>
        <w:t>VGL</w:t>
      </w:r>
      <w:r>
        <w:rPr>
          <w:lang w:val="en-GB"/>
        </w:rPr>
        <w:t xml:space="preserve"> case, raising the </w:t>
      </w:r>
      <w:r w:rsidRPr="002342AB">
        <w:rPr>
          <w:color w:val="000000" w:themeColor="text1"/>
          <w:lang w:val="en-GB"/>
        </w:rPr>
        <w:t>question: “</w:t>
      </w:r>
      <w:r w:rsidR="009E6829" w:rsidRPr="002342AB">
        <w:rPr>
          <w:color w:val="000000" w:themeColor="text1"/>
          <w:lang w:val="en-GB"/>
        </w:rPr>
        <w:t>whether article 12 of</w:t>
      </w:r>
      <w:r w:rsidR="009E6829" w:rsidRPr="006218BC">
        <w:rPr>
          <w:lang w:val="en-GB"/>
        </w:rPr>
        <w:t xml:space="preserve"> the EEC Treaty has direct application within the territory of a member state, in other words, whether nationals of such a state can, on the basis of the article in question, lay claim to individual rights which the court must protect.”</w:t>
      </w:r>
      <w:r w:rsidR="009E6829" w:rsidRPr="006218BC">
        <w:rPr>
          <w:rStyle w:val="Funotenzeichen"/>
          <w:lang w:val="en-GB"/>
        </w:rPr>
        <w:footnoteReference w:id="13"/>
      </w:r>
      <w:r w:rsidR="00B96A1B" w:rsidRPr="006218BC">
        <w:rPr>
          <w:lang w:val="en-GB"/>
        </w:rPr>
        <w:t xml:space="preserve"> The background to this case was an import of chemicals from Germany into the Netherlands, which was charged with an import duty that has been raised since the EEC Treaty had come into force and allegedly was a breach of Article 12 EEC Treaty (Art</w:t>
      </w:r>
      <w:r w:rsidR="00032367">
        <w:rPr>
          <w:lang w:val="en-GB"/>
        </w:rPr>
        <w:t>icle</w:t>
      </w:r>
      <w:r w:rsidR="00B96A1B" w:rsidRPr="006218BC">
        <w:rPr>
          <w:lang w:val="en-GB"/>
        </w:rPr>
        <w:t xml:space="preserve"> 30 TFEU).</w:t>
      </w:r>
      <w:r>
        <w:rPr>
          <w:lang w:val="en-GB"/>
        </w:rPr>
        <w:t xml:space="preserve"> </w:t>
      </w:r>
      <w:r w:rsidR="009E6829" w:rsidRPr="006218BC">
        <w:rPr>
          <w:lang w:val="en-GB"/>
        </w:rPr>
        <w:t>The governments of Belgium and the Netherlands intervened</w:t>
      </w:r>
      <w:r>
        <w:rPr>
          <w:lang w:val="en-GB"/>
        </w:rPr>
        <w:t xml:space="preserve"> to argue</w:t>
      </w:r>
      <w:r w:rsidR="009E6829" w:rsidRPr="006218BC">
        <w:rPr>
          <w:lang w:val="en-GB"/>
        </w:rPr>
        <w:t xml:space="preserve"> that this question </w:t>
      </w:r>
      <w:r>
        <w:rPr>
          <w:lang w:val="en-GB"/>
        </w:rPr>
        <w:t>could</w:t>
      </w:r>
      <w:r w:rsidR="009E6829" w:rsidRPr="006218BC">
        <w:rPr>
          <w:lang w:val="en-GB"/>
        </w:rPr>
        <w:t xml:space="preserve"> not be answered by the CJEU, but by the national constitutions </w:t>
      </w:r>
      <w:r>
        <w:rPr>
          <w:lang w:val="en-GB"/>
        </w:rPr>
        <w:t>alone</w:t>
      </w:r>
      <w:r w:rsidR="009E6829" w:rsidRPr="006218BC">
        <w:rPr>
          <w:lang w:val="en-GB"/>
        </w:rPr>
        <w:t xml:space="preserve">. </w:t>
      </w:r>
      <w:r>
        <w:rPr>
          <w:lang w:val="en-GB"/>
        </w:rPr>
        <w:t>They argued the question was outside the</w:t>
      </w:r>
      <w:r w:rsidR="009E6829" w:rsidRPr="006218BC">
        <w:rPr>
          <w:lang w:val="en-GB"/>
        </w:rPr>
        <w:t xml:space="preserve"> jurisdiction of the CJEU “</w:t>
      </w:r>
      <w:r w:rsidR="00927AEA" w:rsidRPr="006218BC">
        <w:rPr>
          <w:lang w:val="en-GB"/>
        </w:rPr>
        <w:t>since it does not relate to the interpretation but to the application of the Treaty” and that the reference is “a problem of constitutional law, which falls exclusively within the jurisdiction” of the national court.</w:t>
      </w:r>
      <w:r w:rsidR="009E6829" w:rsidRPr="006218BC">
        <w:rPr>
          <w:rStyle w:val="Funotenzeichen"/>
          <w:lang w:val="en-GB"/>
        </w:rPr>
        <w:footnoteReference w:id="14"/>
      </w:r>
    </w:p>
    <w:p w14:paraId="25FB26BD" w14:textId="77777777" w:rsidR="009340AE" w:rsidRPr="006218BC" w:rsidRDefault="009340AE" w:rsidP="00CD3D33">
      <w:pPr>
        <w:spacing w:line="360" w:lineRule="auto"/>
        <w:jc w:val="both"/>
        <w:rPr>
          <w:lang w:val="en-GB"/>
        </w:rPr>
      </w:pPr>
    </w:p>
    <w:p w14:paraId="10B1C83C" w14:textId="1231D0D3" w:rsidR="00D06250" w:rsidRPr="006218BC" w:rsidRDefault="001663EF" w:rsidP="00CD3D33">
      <w:pPr>
        <w:spacing w:line="360" w:lineRule="auto"/>
        <w:jc w:val="both"/>
        <w:rPr>
          <w:lang w:val="en-GB"/>
        </w:rPr>
      </w:pPr>
      <w:r w:rsidRPr="006218BC">
        <w:rPr>
          <w:lang w:val="en-GB"/>
        </w:rPr>
        <w:t>The CJEU famously</w:t>
      </w:r>
      <w:r w:rsidR="00927AEA" w:rsidRPr="006218BC">
        <w:rPr>
          <w:lang w:val="en-GB"/>
        </w:rPr>
        <w:t xml:space="preserve"> </w:t>
      </w:r>
      <w:r w:rsidR="006D3C47">
        <w:rPr>
          <w:lang w:val="en-GB"/>
        </w:rPr>
        <w:t>stated</w:t>
      </w:r>
      <w:r w:rsidR="00927AEA" w:rsidRPr="006218BC">
        <w:rPr>
          <w:lang w:val="en-GB"/>
        </w:rPr>
        <w:t xml:space="preserve"> that the Community</w:t>
      </w:r>
      <w:r w:rsidRPr="006218BC">
        <w:rPr>
          <w:lang w:val="en-GB"/>
        </w:rPr>
        <w:t xml:space="preserve"> </w:t>
      </w:r>
      <w:r w:rsidR="00F10F3F" w:rsidRPr="006218BC">
        <w:rPr>
          <w:lang w:val="en-GB"/>
        </w:rPr>
        <w:t>aims to establish</w:t>
      </w:r>
      <w:r w:rsidRPr="006218BC">
        <w:rPr>
          <w:lang w:val="en-GB"/>
        </w:rPr>
        <w:t xml:space="preserve"> a “new legal order of i</w:t>
      </w:r>
      <w:r w:rsidR="00927AEA" w:rsidRPr="006218BC">
        <w:rPr>
          <w:lang w:val="en-GB"/>
        </w:rPr>
        <w:t>nternational law for the benefit</w:t>
      </w:r>
      <w:r w:rsidRPr="006218BC">
        <w:rPr>
          <w:lang w:val="en-GB"/>
        </w:rPr>
        <w:t xml:space="preserve"> of which the states have limited their sovereign rights”.</w:t>
      </w:r>
      <w:r w:rsidRPr="006218BC">
        <w:rPr>
          <w:rStyle w:val="Funotenzeichen"/>
          <w:lang w:val="en-GB"/>
        </w:rPr>
        <w:footnoteReference w:id="15"/>
      </w:r>
      <w:r w:rsidR="00F10F3F" w:rsidRPr="006218BC">
        <w:rPr>
          <w:lang w:val="en-GB"/>
        </w:rPr>
        <w:t xml:space="preserve"> </w:t>
      </w:r>
      <w:r w:rsidR="006D3C47">
        <w:rPr>
          <w:lang w:val="en-GB"/>
        </w:rPr>
        <w:t>This legal order regulates</w:t>
      </w:r>
      <w:r w:rsidR="00F10F3F" w:rsidRPr="006218BC">
        <w:rPr>
          <w:lang w:val="en-GB"/>
        </w:rPr>
        <w:t xml:space="preserve"> not </w:t>
      </w:r>
      <w:r w:rsidR="006D3C47">
        <w:rPr>
          <w:lang w:val="en-GB"/>
        </w:rPr>
        <w:t xml:space="preserve">only a Community of states </w:t>
      </w:r>
      <w:r w:rsidR="00F10F3F" w:rsidRPr="006218BC">
        <w:rPr>
          <w:lang w:val="en-GB"/>
        </w:rPr>
        <w:t>“but also of peoples and persons</w:t>
      </w:r>
      <w:r w:rsidR="006D3C47">
        <w:rPr>
          <w:lang w:val="en-GB"/>
        </w:rPr>
        <w:t>” and therefore</w:t>
      </w:r>
      <w:r w:rsidR="00F10F3F" w:rsidRPr="006218BC">
        <w:rPr>
          <w:lang w:val="en-GB"/>
        </w:rPr>
        <w:t xml:space="preserve"> </w:t>
      </w:r>
      <w:r w:rsidR="006D3C47">
        <w:rPr>
          <w:lang w:val="en-GB"/>
        </w:rPr>
        <w:t>“</w:t>
      </w:r>
      <w:r w:rsidR="00F10F3F" w:rsidRPr="006218BC">
        <w:rPr>
          <w:lang w:val="en-GB"/>
        </w:rPr>
        <w:t>individuals must be visualized as being subjects of Community law.”</w:t>
      </w:r>
      <w:r w:rsidR="00F10F3F" w:rsidRPr="006218BC">
        <w:rPr>
          <w:rStyle w:val="Funotenzeichen"/>
          <w:lang w:val="en-GB"/>
        </w:rPr>
        <w:footnoteReference w:id="16"/>
      </w:r>
      <w:r w:rsidR="00F10F3F" w:rsidRPr="006218BC">
        <w:rPr>
          <w:lang w:val="en-GB"/>
        </w:rPr>
        <w:t xml:space="preserve"> </w:t>
      </w:r>
      <w:r w:rsidR="00D06250" w:rsidRPr="006218BC">
        <w:rPr>
          <w:lang w:val="en-GB"/>
        </w:rPr>
        <w:t xml:space="preserve">The idea of individual rights and their protection was at the heart of </w:t>
      </w:r>
      <w:r w:rsidR="00D06250" w:rsidRPr="006218BC">
        <w:rPr>
          <w:i/>
          <w:lang w:val="en-GB"/>
        </w:rPr>
        <w:t>VGL</w:t>
      </w:r>
      <w:r w:rsidR="00D06250" w:rsidRPr="006218BC">
        <w:rPr>
          <w:lang w:val="en-GB"/>
        </w:rPr>
        <w:t>.</w:t>
      </w:r>
    </w:p>
    <w:p w14:paraId="3D4BF1D0" w14:textId="77777777" w:rsidR="00D06250" w:rsidRPr="006218BC" w:rsidRDefault="00D06250" w:rsidP="00CD3D33">
      <w:pPr>
        <w:spacing w:line="360" w:lineRule="auto"/>
        <w:jc w:val="both"/>
        <w:rPr>
          <w:lang w:val="en-GB"/>
        </w:rPr>
      </w:pPr>
    </w:p>
    <w:p w14:paraId="2F09F3D5" w14:textId="37A385B0" w:rsidR="001663EF" w:rsidRPr="006218BC" w:rsidRDefault="006D3C47" w:rsidP="00CD3D33">
      <w:pPr>
        <w:spacing w:line="360" w:lineRule="auto"/>
        <w:jc w:val="both"/>
        <w:rPr>
          <w:lang w:val="en-GB"/>
        </w:rPr>
      </w:pPr>
      <w:r>
        <w:rPr>
          <w:lang w:val="en-GB"/>
        </w:rPr>
        <w:t xml:space="preserve">This judgment is often referred to </w:t>
      </w:r>
      <w:r w:rsidR="00386384">
        <w:rPr>
          <w:lang w:val="en-GB"/>
        </w:rPr>
        <w:t xml:space="preserve">as the introduction of the concept of direct effect to Union law. That is however not the case, because the direct application of Union law </w:t>
      </w:r>
      <w:r w:rsidR="001663EF" w:rsidRPr="006218BC">
        <w:rPr>
          <w:lang w:val="en-GB"/>
        </w:rPr>
        <w:t>was already clearly mentioned in the EEC Treaty in regard to regulations. It was rather the question “whether specific provisions … had direct effect was to be decided centrally by the Court of Justice”</w:t>
      </w:r>
      <w:r w:rsidR="001663EF" w:rsidRPr="006218BC">
        <w:rPr>
          <w:rStyle w:val="Funotenzeichen"/>
          <w:lang w:val="en-GB"/>
        </w:rPr>
        <w:footnoteReference w:id="17"/>
      </w:r>
      <w:r w:rsidR="001663EF" w:rsidRPr="006218BC">
        <w:rPr>
          <w:lang w:val="en-GB"/>
        </w:rPr>
        <w:t xml:space="preserve"> alone, as the CJEU postulated in its judgment.</w:t>
      </w:r>
      <w:r w:rsidR="00F10F3F" w:rsidRPr="006218BC">
        <w:rPr>
          <w:lang w:val="en-GB"/>
        </w:rPr>
        <w:t xml:space="preserve"> Because Article 12 was a sufficiently clear and unconditional prohibition, </w:t>
      </w:r>
      <w:r w:rsidR="00386384">
        <w:rPr>
          <w:lang w:val="en-GB"/>
        </w:rPr>
        <w:t xml:space="preserve">the provision </w:t>
      </w:r>
      <w:r w:rsidR="00F10F3F" w:rsidRPr="006218BC">
        <w:rPr>
          <w:lang w:val="en-GB"/>
        </w:rPr>
        <w:t>was deemed of having direct effect.</w:t>
      </w:r>
      <w:r w:rsidR="00B96A1B" w:rsidRPr="006218BC">
        <w:rPr>
          <w:lang w:val="en-GB"/>
        </w:rPr>
        <w:t xml:space="preserve"> Over the following years, the Court expanded this doctrine in two ways: On the one hand the requirements that are needed were subtly loosened and on the other hand the effect was extended to secondary Union law as well.</w:t>
      </w:r>
      <w:r w:rsidR="00B96A1B" w:rsidRPr="006218BC">
        <w:rPr>
          <w:rStyle w:val="Funotenzeichen"/>
          <w:lang w:val="en-GB"/>
        </w:rPr>
        <w:footnoteReference w:id="18"/>
      </w:r>
      <w:r w:rsidR="00386384">
        <w:rPr>
          <w:lang w:val="en-GB"/>
        </w:rPr>
        <w:t xml:space="preserve"> </w:t>
      </w:r>
    </w:p>
    <w:p w14:paraId="2BDBFDAF" w14:textId="77777777" w:rsidR="009340AE" w:rsidRPr="006218BC" w:rsidRDefault="009340AE" w:rsidP="00CD3D33">
      <w:pPr>
        <w:spacing w:line="360" w:lineRule="auto"/>
        <w:jc w:val="both"/>
        <w:rPr>
          <w:lang w:val="en-GB"/>
        </w:rPr>
      </w:pPr>
    </w:p>
    <w:p w14:paraId="319FEB1B" w14:textId="389F480D" w:rsidR="00827360" w:rsidRPr="006218BC" w:rsidRDefault="001663EF" w:rsidP="00CD3D33">
      <w:pPr>
        <w:spacing w:line="360" w:lineRule="auto"/>
        <w:jc w:val="both"/>
        <w:rPr>
          <w:lang w:val="en-GB"/>
        </w:rPr>
      </w:pPr>
      <w:r w:rsidRPr="006218BC">
        <w:rPr>
          <w:lang w:val="en-GB"/>
        </w:rPr>
        <w:t xml:space="preserve">Closely connected to the doctrine of direct effect enshrined by </w:t>
      </w:r>
      <w:r w:rsidRPr="006218BC">
        <w:rPr>
          <w:i/>
          <w:lang w:val="en-GB"/>
        </w:rPr>
        <w:t>VGL</w:t>
      </w:r>
      <w:r w:rsidRPr="006218BC">
        <w:rPr>
          <w:lang w:val="en-GB"/>
        </w:rPr>
        <w:t xml:space="preserve"> is the doctrine of primacy, which was </w:t>
      </w:r>
      <w:r w:rsidR="00B31354" w:rsidRPr="006218BC">
        <w:rPr>
          <w:lang w:val="en-GB"/>
        </w:rPr>
        <w:t xml:space="preserve">established by the CJEU in </w:t>
      </w:r>
      <w:r w:rsidR="00B31354" w:rsidRPr="006218BC">
        <w:rPr>
          <w:i/>
          <w:lang w:val="en-GB"/>
        </w:rPr>
        <w:t>Costa</w:t>
      </w:r>
      <w:r w:rsidR="00827360" w:rsidRPr="006218BC">
        <w:rPr>
          <w:lang w:val="en-GB"/>
        </w:rPr>
        <w:t>.</w:t>
      </w:r>
    </w:p>
    <w:p w14:paraId="46EE61E6" w14:textId="0221A62F" w:rsidR="00B26056" w:rsidRDefault="00827360" w:rsidP="00CD3D33">
      <w:pPr>
        <w:spacing w:line="360" w:lineRule="auto"/>
        <w:jc w:val="both"/>
        <w:rPr>
          <w:lang w:val="en-GB"/>
        </w:rPr>
      </w:pPr>
      <w:r w:rsidRPr="006218BC">
        <w:rPr>
          <w:lang w:val="en-GB"/>
        </w:rPr>
        <w:t>The question</w:t>
      </w:r>
      <w:r w:rsidR="00386384">
        <w:rPr>
          <w:lang w:val="en-GB"/>
        </w:rPr>
        <w:t xml:space="preserve"> of primacy of EU law</w:t>
      </w:r>
      <w:r w:rsidRPr="006218BC">
        <w:rPr>
          <w:lang w:val="en-GB"/>
        </w:rPr>
        <w:t xml:space="preserve"> was not raised in </w:t>
      </w:r>
      <w:r w:rsidRPr="006218BC">
        <w:rPr>
          <w:i/>
          <w:lang w:val="en-GB"/>
        </w:rPr>
        <w:t>VGL</w:t>
      </w:r>
      <w:r w:rsidRPr="006218BC">
        <w:rPr>
          <w:lang w:val="en-GB"/>
        </w:rPr>
        <w:t xml:space="preserve">, because the Dutch constitution was clear on that </w:t>
      </w:r>
      <w:r w:rsidR="00386384">
        <w:rPr>
          <w:lang w:val="en-GB"/>
        </w:rPr>
        <w:t>subject</w:t>
      </w:r>
      <w:r w:rsidRPr="006218BC">
        <w:rPr>
          <w:lang w:val="en-GB"/>
        </w:rPr>
        <w:t>, as</w:t>
      </w:r>
      <w:r w:rsidR="008E48F6">
        <w:rPr>
          <w:lang w:val="en-GB"/>
        </w:rPr>
        <w:t xml:space="preserve"> Article</w:t>
      </w:r>
      <w:r w:rsidRPr="006218BC">
        <w:rPr>
          <w:lang w:val="en-GB"/>
        </w:rPr>
        <w:t xml:space="preserve"> 66 (94 today) stated that self-executing provision</w:t>
      </w:r>
      <w:r w:rsidR="00B31354" w:rsidRPr="006218BC">
        <w:rPr>
          <w:lang w:val="en-GB"/>
        </w:rPr>
        <w:t xml:space="preserve">s of international law prevail </w:t>
      </w:r>
      <w:r w:rsidRPr="006218BC">
        <w:rPr>
          <w:lang w:val="en-GB"/>
        </w:rPr>
        <w:t xml:space="preserve">over conflicting national law. </w:t>
      </w:r>
    </w:p>
    <w:p w14:paraId="4D58715B" w14:textId="77777777" w:rsidR="00D80F82" w:rsidRPr="006218BC" w:rsidRDefault="00D80F82" w:rsidP="00CD3D33">
      <w:pPr>
        <w:spacing w:line="360" w:lineRule="auto"/>
        <w:jc w:val="both"/>
        <w:rPr>
          <w:lang w:val="en-GB"/>
        </w:rPr>
      </w:pPr>
    </w:p>
    <w:p w14:paraId="399DB100" w14:textId="29FA32B4" w:rsidR="00D80F82" w:rsidRPr="006218BC" w:rsidRDefault="00293D38" w:rsidP="00CD3D33">
      <w:pPr>
        <w:spacing w:line="360" w:lineRule="auto"/>
        <w:jc w:val="both"/>
        <w:rPr>
          <w:lang w:val="en-GB"/>
        </w:rPr>
      </w:pPr>
      <w:r>
        <w:rPr>
          <w:lang w:val="en-GB"/>
        </w:rPr>
        <w:t xml:space="preserve">In </w:t>
      </w:r>
      <w:r w:rsidR="00D80F82" w:rsidRPr="006218BC">
        <w:rPr>
          <w:lang w:val="en-GB"/>
        </w:rPr>
        <w:t>Costa</w:t>
      </w:r>
      <w:r>
        <w:rPr>
          <w:lang w:val="en-GB"/>
        </w:rPr>
        <w:t>, the company refused to</w:t>
      </w:r>
      <w:r w:rsidR="00D80F82" w:rsidRPr="006218BC">
        <w:rPr>
          <w:lang w:val="en-GB"/>
        </w:rPr>
        <w:t xml:space="preserve"> pay </w:t>
      </w:r>
      <w:r>
        <w:rPr>
          <w:lang w:val="en-GB"/>
        </w:rPr>
        <w:t>what was owed to</w:t>
      </w:r>
      <w:r w:rsidR="00D80F82" w:rsidRPr="006218BC">
        <w:rPr>
          <w:lang w:val="en-GB"/>
        </w:rPr>
        <w:t xml:space="preserve"> the national electricity company. Instead</w:t>
      </w:r>
      <w:r>
        <w:rPr>
          <w:lang w:val="en-GB"/>
        </w:rPr>
        <w:t>, Costa</w:t>
      </w:r>
      <w:r w:rsidR="00D80F82" w:rsidRPr="006218BC">
        <w:rPr>
          <w:lang w:val="en-GB"/>
        </w:rPr>
        <w:t xml:space="preserve"> challenged </w:t>
      </w:r>
      <w:r>
        <w:rPr>
          <w:lang w:val="en-GB"/>
        </w:rPr>
        <w:t>the</w:t>
      </w:r>
      <w:r w:rsidR="00D80F82" w:rsidRPr="006218BC">
        <w:rPr>
          <w:lang w:val="en-GB"/>
        </w:rPr>
        <w:t xml:space="preserve"> Act of Parl</w:t>
      </w:r>
      <w:r w:rsidR="00F47670">
        <w:rPr>
          <w:lang w:val="en-GB"/>
        </w:rPr>
        <w:t>iament, by which electricity had</w:t>
      </w:r>
      <w:r w:rsidR="00D80F82" w:rsidRPr="006218BC">
        <w:rPr>
          <w:lang w:val="en-GB"/>
        </w:rPr>
        <w:t xml:space="preserve"> been nationalized, as </w:t>
      </w:r>
      <w:r w:rsidR="00F47670">
        <w:rPr>
          <w:lang w:val="en-GB"/>
        </w:rPr>
        <w:t>being in violation</w:t>
      </w:r>
      <w:r w:rsidR="00D80F82" w:rsidRPr="006218BC">
        <w:rPr>
          <w:lang w:val="en-GB"/>
        </w:rPr>
        <w:t xml:space="preserve"> of the EEC Treaty. The local </w:t>
      </w:r>
      <w:r w:rsidR="00F47670">
        <w:rPr>
          <w:lang w:val="en-GB"/>
        </w:rPr>
        <w:t>court</w:t>
      </w:r>
      <w:r w:rsidR="00D80F82" w:rsidRPr="006218BC">
        <w:rPr>
          <w:lang w:val="en-GB"/>
        </w:rPr>
        <w:t xml:space="preserve"> referred the matter to the CJEU.</w:t>
      </w:r>
      <w:r w:rsidR="00D06250" w:rsidRPr="006218BC">
        <w:rPr>
          <w:lang w:val="en-GB"/>
        </w:rPr>
        <w:t xml:space="preserve"> </w:t>
      </w:r>
      <w:r w:rsidR="00D80F82" w:rsidRPr="006218BC">
        <w:rPr>
          <w:lang w:val="en-GB"/>
        </w:rPr>
        <w:t>The Italian government intervened before the CJEU and called the reference “absolutely inadmissible”, because no local court had power to set aside national law regardless.</w:t>
      </w:r>
      <w:r w:rsidR="00D80F82" w:rsidRPr="006218BC">
        <w:rPr>
          <w:rStyle w:val="Funotenzeichen"/>
          <w:lang w:val="en-GB"/>
        </w:rPr>
        <w:footnoteReference w:id="19"/>
      </w:r>
      <w:r w:rsidR="00D80F82" w:rsidRPr="006218BC">
        <w:rPr>
          <w:lang w:val="en-GB"/>
        </w:rPr>
        <w:t xml:space="preserve"> “This open ch</w:t>
      </w:r>
      <w:r w:rsidR="006A1834" w:rsidRPr="006218BC">
        <w:rPr>
          <w:lang w:val="en-GB"/>
        </w:rPr>
        <w:t>allenge to its juris</w:t>
      </w:r>
      <w:r w:rsidR="00D80F82" w:rsidRPr="006218BC">
        <w:rPr>
          <w:lang w:val="en-GB"/>
        </w:rPr>
        <w:t>diction encouraged the Court of Justice to formulate its doctrine of the primacy of Community law”</w:t>
      </w:r>
      <w:r w:rsidR="00D80F82" w:rsidRPr="006218BC">
        <w:rPr>
          <w:rStyle w:val="Funotenzeichen"/>
          <w:lang w:val="en-GB"/>
        </w:rPr>
        <w:footnoteReference w:id="20"/>
      </w:r>
      <w:r w:rsidR="00D80F82" w:rsidRPr="006218BC">
        <w:rPr>
          <w:lang w:val="en-GB"/>
        </w:rPr>
        <w:t xml:space="preserve"> and to enforce EU law </w:t>
      </w:r>
      <w:r w:rsidR="009839F6">
        <w:rPr>
          <w:lang w:val="en-GB"/>
        </w:rPr>
        <w:t>when it</w:t>
      </w:r>
      <w:r w:rsidR="00D80F82" w:rsidRPr="006218BC">
        <w:rPr>
          <w:lang w:val="en-GB"/>
        </w:rPr>
        <w:t xml:space="preserve"> conflict</w:t>
      </w:r>
      <w:r w:rsidR="009839F6">
        <w:rPr>
          <w:lang w:val="en-GB"/>
        </w:rPr>
        <w:t>s</w:t>
      </w:r>
      <w:r w:rsidR="00D80F82" w:rsidRPr="006218BC">
        <w:rPr>
          <w:lang w:val="en-GB"/>
        </w:rPr>
        <w:t xml:space="preserve"> with national legislation.</w:t>
      </w:r>
    </w:p>
    <w:p w14:paraId="0CE16AEC" w14:textId="58FED975" w:rsidR="00D80F82" w:rsidRPr="006218BC" w:rsidRDefault="009839F6" w:rsidP="00CD3D33">
      <w:pPr>
        <w:spacing w:line="360" w:lineRule="auto"/>
        <w:jc w:val="both"/>
        <w:rPr>
          <w:lang w:val="en-GB"/>
        </w:rPr>
      </w:pPr>
      <w:r>
        <w:rPr>
          <w:lang w:val="en-GB"/>
        </w:rPr>
        <w:t>The Court affirmed</w:t>
      </w:r>
      <w:r w:rsidR="00D80F82" w:rsidRPr="006218BC">
        <w:rPr>
          <w:lang w:val="en-GB"/>
        </w:rPr>
        <w:t xml:space="preserve"> that the EC Treaty was no ordinary international treaty anyway </w:t>
      </w:r>
      <w:r>
        <w:rPr>
          <w:lang w:val="en-GB"/>
        </w:rPr>
        <w:t>since</w:t>
      </w:r>
      <w:r w:rsidR="00D80F82" w:rsidRPr="006218BC">
        <w:rPr>
          <w:lang w:val="en-GB"/>
        </w:rPr>
        <w:t xml:space="preserve"> the cons</w:t>
      </w:r>
      <w:r>
        <w:rPr>
          <w:lang w:val="en-GB"/>
        </w:rPr>
        <w:t>ent of all national parliaments –</w:t>
      </w:r>
      <w:r w:rsidR="00D80F82" w:rsidRPr="006218BC">
        <w:rPr>
          <w:lang w:val="en-GB"/>
        </w:rPr>
        <w:t xml:space="preserve"> a </w:t>
      </w:r>
      <w:r w:rsidR="00C031F0" w:rsidRPr="006218BC">
        <w:rPr>
          <w:lang w:val="en-GB"/>
        </w:rPr>
        <w:t>rarity</w:t>
      </w:r>
      <w:r w:rsidR="00D80F82" w:rsidRPr="006218BC">
        <w:rPr>
          <w:lang w:val="en-GB"/>
        </w:rPr>
        <w:t xml:space="preserve"> in </w:t>
      </w:r>
      <w:r w:rsidR="00C031F0" w:rsidRPr="006218BC">
        <w:rPr>
          <w:lang w:val="en-GB"/>
        </w:rPr>
        <w:t>governmentally driven</w:t>
      </w:r>
      <w:r>
        <w:rPr>
          <w:lang w:val="en-GB"/>
        </w:rPr>
        <w:t xml:space="preserve"> international law – </w:t>
      </w:r>
      <w:r w:rsidR="00D80F82" w:rsidRPr="006218BC">
        <w:rPr>
          <w:lang w:val="en-GB"/>
        </w:rPr>
        <w:t xml:space="preserve"> </w:t>
      </w:r>
      <w:r>
        <w:rPr>
          <w:lang w:val="en-GB"/>
        </w:rPr>
        <w:t>made</w:t>
      </w:r>
      <w:r w:rsidR="00D80F82" w:rsidRPr="006218BC">
        <w:rPr>
          <w:lang w:val="en-GB"/>
        </w:rPr>
        <w:t xml:space="preserve"> EU law </w:t>
      </w:r>
      <w:r>
        <w:rPr>
          <w:lang w:val="en-GB"/>
        </w:rPr>
        <w:t>its</w:t>
      </w:r>
      <w:r w:rsidR="00D80F82" w:rsidRPr="006218BC">
        <w:rPr>
          <w:lang w:val="en-GB"/>
        </w:rPr>
        <w:t xml:space="preserve"> “own legal system which … became an integral part of the legal systems of the Member States and which their courts are bound to apply</w:t>
      </w:r>
      <w:r w:rsidR="0006373E" w:rsidRPr="006218BC">
        <w:rPr>
          <w:lang w:val="en-GB"/>
        </w:rPr>
        <w:t>.”</w:t>
      </w:r>
      <w:r w:rsidR="0006373E" w:rsidRPr="006218BC">
        <w:rPr>
          <w:rStyle w:val="Funotenzeichen"/>
          <w:lang w:val="en-GB"/>
        </w:rPr>
        <w:footnoteReference w:id="21"/>
      </w:r>
      <w:r w:rsidR="0006373E" w:rsidRPr="006218BC">
        <w:rPr>
          <w:lang w:val="en-GB"/>
        </w:rPr>
        <w:t xml:space="preserve"> The limitation of their own sovereign rights in limited fields “created a body of law which binds both their nationals and themselves.”</w:t>
      </w:r>
      <w:r w:rsidR="0006373E" w:rsidRPr="006218BC">
        <w:rPr>
          <w:rStyle w:val="Funotenzeichen"/>
          <w:lang w:val="en-GB"/>
        </w:rPr>
        <w:footnoteReference w:id="22"/>
      </w:r>
      <w:r w:rsidR="00D06250" w:rsidRPr="006218BC">
        <w:rPr>
          <w:lang w:val="en-GB"/>
        </w:rPr>
        <w:t xml:space="preserve"> Therefore it </w:t>
      </w:r>
      <w:r>
        <w:rPr>
          <w:lang w:val="en-GB"/>
        </w:rPr>
        <w:t xml:space="preserve">was </w:t>
      </w:r>
      <w:r w:rsidR="00D06250" w:rsidRPr="006218BC">
        <w:rPr>
          <w:lang w:val="en-GB"/>
        </w:rPr>
        <w:t xml:space="preserve">necessary for </w:t>
      </w:r>
      <w:r>
        <w:rPr>
          <w:lang w:val="en-GB"/>
        </w:rPr>
        <w:t xml:space="preserve">both </w:t>
      </w:r>
      <w:r w:rsidR="00D06250" w:rsidRPr="006218BC">
        <w:rPr>
          <w:lang w:val="en-GB"/>
        </w:rPr>
        <w:t xml:space="preserve">the </w:t>
      </w:r>
      <w:r>
        <w:rPr>
          <w:lang w:val="en-GB"/>
        </w:rPr>
        <w:t>legitimacy</w:t>
      </w:r>
      <w:r w:rsidR="00D06250" w:rsidRPr="006218BC">
        <w:rPr>
          <w:lang w:val="en-GB"/>
        </w:rPr>
        <w:t xml:space="preserve"> of EU law and</w:t>
      </w:r>
      <w:r>
        <w:rPr>
          <w:lang w:val="en-GB"/>
        </w:rPr>
        <w:t xml:space="preserve"> for the creation of</w:t>
      </w:r>
      <w:r w:rsidR="00D06250" w:rsidRPr="006218BC">
        <w:rPr>
          <w:lang w:val="en-GB"/>
        </w:rPr>
        <w:t xml:space="preserve"> a uniform common market that national legislation could not</w:t>
      </w:r>
      <w:r>
        <w:rPr>
          <w:lang w:val="en-GB"/>
        </w:rPr>
        <w:t xml:space="preserve"> undermine the integration. EU </w:t>
      </w:r>
      <w:r w:rsidR="00D06250" w:rsidRPr="006218BC">
        <w:rPr>
          <w:lang w:val="en-GB"/>
        </w:rPr>
        <w:t xml:space="preserve">law </w:t>
      </w:r>
      <w:r>
        <w:rPr>
          <w:lang w:val="en-GB"/>
        </w:rPr>
        <w:t>is</w:t>
      </w:r>
      <w:r w:rsidR="00D06250" w:rsidRPr="006218BC">
        <w:rPr>
          <w:lang w:val="en-GB"/>
        </w:rPr>
        <w:t xml:space="preserve"> supreme to national law,</w:t>
      </w:r>
      <w:r>
        <w:rPr>
          <w:lang w:val="en-GB"/>
        </w:rPr>
        <w:t xml:space="preserve"> which</w:t>
      </w:r>
      <w:r w:rsidR="00D06250" w:rsidRPr="006218BC">
        <w:rPr>
          <w:lang w:val="en-GB"/>
        </w:rPr>
        <w:t xml:space="preserve"> the national courts must set aside </w:t>
      </w:r>
      <w:r>
        <w:rPr>
          <w:lang w:val="en-GB"/>
        </w:rPr>
        <w:t>when in conflict</w:t>
      </w:r>
      <w:r w:rsidR="00D06250" w:rsidRPr="006218BC">
        <w:rPr>
          <w:lang w:val="en-GB"/>
        </w:rPr>
        <w:t>.</w:t>
      </w:r>
    </w:p>
    <w:p w14:paraId="265666E0" w14:textId="77777777" w:rsidR="007172A4" w:rsidRPr="006218BC" w:rsidRDefault="007172A4" w:rsidP="00CD3D33">
      <w:pPr>
        <w:spacing w:line="360" w:lineRule="auto"/>
        <w:jc w:val="both"/>
        <w:rPr>
          <w:lang w:val="en-GB"/>
        </w:rPr>
      </w:pPr>
    </w:p>
    <w:p w14:paraId="000735B9" w14:textId="648593C6" w:rsidR="001F262C" w:rsidRPr="006218BC" w:rsidRDefault="009839F6" w:rsidP="008F4A97">
      <w:pPr>
        <w:spacing w:line="360" w:lineRule="auto"/>
        <w:jc w:val="both"/>
        <w:rPr>
          <w:lang w:val="en-GB"/>
        </w:rPr>
      </w:pPr>
      <w:r>
        <w:rPr>
          <w:lang w:val="en-GB"/>
        </w:rPr>
        <w:t>These are relatively</w:t>
      </w:r>
      <w:r w:rsidR="007172A4" w:rsidRPr="006218BC">
        <w:rPr>
          <w:lang w:val="en-GB"/>
        </w:rPr>
        <w:t xml:space="preserve"> weak </w:t>
      </w:r>
      <w:r>
        <w:rPr>
          <w:lang w:val="en-GB"/>
        </w:rPr>
        <w:t>arguments because they lack</w:t>
      </w:r>
      <w:r w:rsidR="005E1FBE" w:rsidRPr="006218BC">
        <w:rPr>
          <w:lang w:val="en-GB"/>
        </w:rPr>
        <w:t xml:space="preserve"> any legal foundation in the Treaty</w:t>
      </w:r>
      <w:r w:rsidR="007172A4" w:rsidRPr="006218BC">
        <w:rPr>
          <w:lang w:val="en-GB"/>
        </w:rPr>
        <w:t xml:space="preserve"> and </w:t>
      </w:r>
      <w:r>
        <w:rPr>
          <w:lang w:val="en-GB"/>
        </w:rPr>
        <w:t>because of the</w:t>
      </w:r>
      <w:r w:rsidR="007172A4" w:rsidRPr="006218BC">
        <w:rPr>
          <w:lang w:val="en-GB"/>
        </w:rPr>
        <w:t xml:space="preserve"> </w:t>
      </w:r>
      <w:r w:rsidR="00527FBA" w:rsidRPr="006218BC">
        <w:rPr>
          <w:lang w:val="en-GB"/>
        </w:rPr>
        <w:t>generally “mixed response”</w:t>
      </w:r>
      <w:r w:rsidR="00527FBA" w:rsidRPr="006218BC">
        <w:rPr>
          <w:rStyle w:val="Funotenzeichen"/>
          <w:lang w:val="en-GB"/>
        </w:rPr>
        <w:footnoteReference w:id="23"/>
      </w:r>
      <w:r w:rsidR="00527FBA" w:rsidRPr="006218BC">
        <w:rPr>
          <w:lang w:val="en-GB"/>
        </w:rPr>
        <w:t xml:space="preserve"> </w:t>
      </w:r>
      <w:r>
        <w:rPr>
          <w:lang w:val="en-GB"/>
        </w:rPr>
        <w:t>from</w:t>
      </w:r>
      <w:r w:rsidR="00527FBA" w:rsidRPr="006218BC">
        <w:rPr>
          <w:lang w:val="en-GB"/>
        </w:rPr>
        <w:t xml:space="preserve"> many </w:t>
      </w:r>
      <w:r>
        <w:rPr>
          <w:lang w:val="en-GB"/>
        </w:rPr>
        <w:t>legal scholars. Nevertheless</w:t>
      </w:r>
      <w:r w:rsidR="00527FBA" w:rsidRPr="006218BC">
        <w:rPr>
          <w:lang w:val="en-GB"/>
        </w:rPr>
        <w:t xml:space="preserve"> it is remarkable how</w:t>
      </w:r>
      <w:r w:rsidR="008E48F6">
        <w:rPr>
          <w:lang w:val="en-GB"/>
        </w:rPr>
        <w:t xml:space="preserve"> easily</w:t>
      </w:r>
      <w:r w:rsidR="00527FBA" w:rsidRPr="006218BC">
        <w:rPr>
          <w:lang w:val="en-GB"/>
        </w:rPr>
        <w:t xml:space="preserve">, </w:t>
      </w:r>
      <w:r w:rsidR="008E48F6">
        <w:rPr>
          <w:lang w:val="en-GB"/>
        </w:rPr>
        <w:t>albeit</w:t>
      </w:r>
      <w:r w:rsidR="00527FBA" w:rsidRPr="006218BC">
        <w:rPr>
          <w:lang w:val="en-GB"/>
        </w:rPr>
        <w:t xml:space="preserve"> slowly</w:t>
      </w:r>
      <w:r w:rsidR="008E48F6">
        <w:rPr>
          <w:lang w:val="en-GB"/>
        </w:rPr>
        <w:t>,</w:t>
      </w:r>
      <w:r w:rsidR="00527FBA" w:rsidRPr="006218BC">
        <w:rPr>
          <w:rStyle w:val="Funotenzeichen"/>
          <w:lang w:val="en-GB"/>
        </w:rPr>
        <w:footnoteReference w:id="24"/>
      </w:r>
      <w:r w:rsidR="00527FBA" w:rsidRPr="006218BC">
        <w:rPr>
          <w:lang w:val="en-GB"/>
        </w:rPr>
        <w:t xml:space="preserve"> most national authorities</w:t>
      </w:r>
      <w:r w:rsidR="00527FBA" w:rsidRPr="006218BC">
        <w:rPr>
          <w:rStyle w:val="Funotenzeichen"/>
          <w:lang w:val="en-GB"/>
        </w:rPr>
        <w:footnoteReference w:id="25"/>
      </w:r>
      <w:r w:rsidR="00527FBA" w:rsidRPr="006218BC">
        <w:rPr>
          <w:lang w:val="en-GB"/>
        </w:rPr>
        <w:t xml:space="preserve"> followed the </w:t>
      </w:r>
      <w:r>
        <w:rPr>
          <w:lang w:val="en-GB"/>
        </w:rPr>
        <w:t>Court’s</w:t>
      </w:r>
      <w:r w:rsidR="00527FBA" w:rsidRPr="006218BC">
        <w:rPr>
          <w:lang w:val="en-GB"/>
        </w:rPr>
        <w:t xml:space="preserve"> doctrines.</w:t>
      </w:r>
    </w:p>
    <w:p w14:paraId="0563CE73" w14:textId="2BC28DDE" w:rsidR="00527FBA" w:rsidRPr="006218BC" w:rsidRDefault="009B440D" w:rsidP="00CD3D33">
      <w:pPr>
        <w:pStyle w:val="berschrift2"/>
        <w:jc w:val="both"/>
        <w:rPr>
          <w:lang w:val="en-GB"/>
        </w:rPr>
      </w:pPr>
      <w:bookmarkStart w:id="3" w:name="_Toc311385409"/>
      <w:r w:rsidRPr="006218BC">
        <w:rPr>
          <w:lang w:val="en-GB"/>
        </w:rPr>
        <w:t>The Clash of the Titans: The Battle of Constitutional Supremacy</w:t>
      </w:r>
      <w:bookmarkEnd w:id="3"/>
    </w:p>
    <w:p w14:paraId="1C371AA7" w14:textId="77777777" w:rsidR="00B0052A" w:rsidRPr="006218BC" w:rsidRDefault="00B0052A" w:rsidP="00CD3D33">
      <w:pPr>
        <w:spacing w:line="360" w:lineRule="auto"/>
        <w:jc w:val="both"/>
        <w:rPr>
          <w:sz w:val="26"/>
          <w:szCs w:val="26"/>
          <w:u w:val="single"/>
          <w:lang w:val="en-GB"/>
        </w:rPr>
      </w:pPr>
    </w:p>
    <w:p w14:paraId="018FEF8D" w14:textId="33D6B2F9" w:rsidR="00527FBA" w:rsidRPr="006218BC" w:rsidRDefault="004202DE" w:rsidP="00CD3D33">
      <w:pPr>
        <w:spacing w:line="360" w:lineRule="auto"/>
        <w:jc w:val="both"/>
        <w:rPr>
          <w:lang w:val="en-GB"/>
        </w:rPr>
      </w:pPr>
      <w:r w:rsidRPr="006218BC">
        <w:rPr>
          <w:lang w:val="en-GB"/>
        </w:rPr>
        <w:t xml:space="preserve">Next in line </w:t>
      </w:r>
      <w:r w:rsidR="005E1FBE" w:rsidRPr="006218BC">
        <w:rPr>
          <w:lang w:val="en-GB"/>
        </w:rPr>
        <w:t>were</w:t>
      </w:r>
      <w:r w:rsidRPr="006218BC">
        <w:rPr>
          <w:lang w:val="en-GB"/>
        </w:rPr>
        <w:t xml:space="preserve"> the</w:t>
      </w:r>
      <w:r w:rsidR="005E1FBE" w:rsidRPr="006218BC">
        <w:rPr>
          <w:lang w:val="en-GB"/>
        </w:rPr>
        <w:t xml:space="preserve"> </w:t>
      </w:r>
      <w:proofErr w:type="spellStart"/>
      <w:r w:rsidR="005E1FBE" w:rsidRPr="006218BC">
        <w:rPr>
          <w:i/>
          <w:lang w:val="en-GB"/>
        </w:rPr>
        <w:t>Internationale</w:t>
      </w:r>
      <w:proofErr w:type="spellEnd"/>
      <w:r w:rsidR="005E1FBE" w:rsidRPr="006218BC">
        <w:rPr>
          <w:i/>
          <w:lang w:val="en-GB"/>
        </w:rPr>
        <w:t xml:space="preserve"> </w:t>
      </w:r>
      <w:proofErr w:type="spellStart"/>
      <w:r w:rsidR="005E1FBE" w:rsidRPr="006218BC">
        <w:rPr>
          <w:i/>
          <w:lang w:val="en-GB"/>
        </w:rPr>
        <w:t>Handelsgesellschaft</w:t>
      </w:r>
      <w:proofErr w:type="spellEnd"/>
      <w:r w:rsidR="00775CDD" w:rsidRPr="006218BC">
        <w:rPr>
          <w:rStyle w:val="Funotenzeichen"/>
          <w:lang w:val="en-GB"/>
        </w:rPr>
        <w:footnoteReference w:id="26"/>
      </w:r>
      <w:r w:rsidR="005E1FBE" w:rsidRPr="006218BC">
        <w:rPr>
          <w:lang w:val="en-GB"/>
        </w:rPr>
        <w:t xml:space="preserve"> and the</w:t>
      </w:r>
      <w:r w:rsidRPr="006218BC">
        <w:rPr>
          <w:lang w:val="en-GB"/>
        </w:rPr>
        <w:t xml:space="preserve"> </w:t>
      </w:r>
      <w:proofErr w:type="spellStart"/>
      <w:r w:rsidRPr="006218BC">
        <w:rPr>
          <w:i/>
          <w:lang w:val="en-GB"/>
        </w:rPr>
        <w:t>Simmenthal</w:t>
      </w:r>
      <w:proofErr w:type="spellEnd"/>
      <w:r w:rsidR="00775CDD" w:rsidRPr="006218BC">
        <w:rPr>
          <w:rStyle w:val="Funotenzeichen"/>
          <w:lang w:val="en-GB"/>
        </w:rPr>
        <w:footnoteReference w:id="27"/>
      </w:r>
      <w:r w:rsidRPr="006218BC">
        <w:rPr>
          <w:lang w:val="en-GB"/>
        </w:rPr>
        <w:t xml:space="preserve"> judgment</w:t>
      </w:r>
      <w:r w:rsidR="005E1FBE" w:rsidRPr="006218BC">
        <w:rPr>
          <w:lang w:val="en-GB"/>
        </w:rPr>
        <w:t>s</w:t>
      </w:r>
      <w:r w:rsidRPr="006218BC">
        <w:rPr>
          <w:lang w:val="en-GB"/>
        </w:rPr>
        <w:t>, which extended the primacy of EU law to national constitutional law as well.</w:t>
      </w:r>
    </w:p>
    <w:p w14:paraId="473E94D5" w14:textId="77777777" w:rsidR="00775CDD" w:rsidRPr="006218BC" w:rsidRDefault="00775CDD" w:rsidP="00CD3D33">
      <w:pPr>
        <w:spacing w:line="360" w:lineRule="auto"/>
        <w:jc w:val="both"/>
        <w:rPr>
          <w:lang w:val="en-GB"/>
        </w:rPr>
      </w:pPr>
    </w:p>
    <w:p w14:paraId="46E07A62" w14:textId="05CCB92D" w:rsidR="00775CDD" w:rsidRPr="006218BC" w:rsidRDefault="00775CDD" w:rsidP="00CD3D33">
      <w:pPr>
        <w:spacing w:line="360" w:lineRule="auto"/>
        <w:jc w:val="both"/>
        <w:rPr>
          <w:lang w:val="en-GB"/>
        </w:rPr>
      </w:pPr>
      <w:r w:rsidRPr="006218BC">
        <w:rPr>
          <w:lang w:val="en-GB"/>
        </w:rPr>
        <w:t xml:space="preserve">In </w:t>
      </w:r>
      <w:proofErr w:type="spellStart"/>
      <w:r w:rsidRPr="006218BC">
        <w:rPr>
          <w:i/>
          <w:lang w:val="en-GB"/>
        </w:rPr>
        <w:t>Internationale</w:t>
      </w:r>
      <w:proofErr w:type="spellEnd"/>
      <w:r w:rsidRPr="006218BC">
        <w:rPr>
          <w:i/>
          <w:lang w:val="en-GB"/>
        </w:rPr>
        <w:t xml:space="preserve"> </w:t>
      </w:r>
      <w:proofErr w:type="spellStart"/>
      <w:r w:rsidRPr="006218BC">
        <w:rPr>
          <w:i/>
          <w:lang w:val="en-GB"/>
        </w:rPr>
        <w:t>Handelsgesellschaft</w:t>
      </w:r>
      <w:proofErr w:type="spellEnd"/>
      <w:r w:rsidRPr="006218BC">
        <w:rPr>
          <w:lang w:val="en-GB"/>
        </w:rPr>
        <w:t xml:space="preserve"> a German export firm </w:t>
      </w:r>
      <w:r w:rsidR="00E7376E" w:rsidRPr="006218BC">
        <w:rPr>
          <w:lang w:val="en-GB"/>
        </w:rPr>
        <w:t xml:space="preserve">obtained an export </w:t>
      </w:r>
      <w:r w:rsidR="00C031F0" w:rsidRPr="006218BC">
        <w:rPr>
          <w:lang w:val="en-GB"/>
        </w:rPr>
        <w:t>license</w:t>
      </w:r>
      <w:r w:rsidR="00E7376E" w:rsidRPr="006218BC">
        <w:rPr>
          <w:lang w:val="en-GB"/>
        </w:rPr>
        <w:t xml:space="preserve"> for maize. </w:t>
      </w:r>
      <w:r w:rsidR="00E564EA">
        <w:rPr>
          <w:lang w:val="en-GB"/>
        </w:rPr>
        <w:t>The firm consequently</w:t>
      </w:r>
      <w:r w:rsidR="00E7376E" w:rsidRPr="006218BC">
        <w:rPr>
          <w:lang w:val="en-GB"/>
        </w:rPr>
        <w:t xml:space="preserve"> had to pay a deposit as a guarantee for complying with certain conditions. Since those conditions were not fulfilled, the deposit was forfeited in accordance with EU law</w:t>
      </w:r>
      <w:r w:rsidR="00E7376E" w:rsidRPr="006218BC">
        <w:rPr>
          <w:rStyle w:val="Funotenzeichen"/>
          <w:lang w:val="en-GB"/>
        </w:rPr>
        <w:footnoteReference w:id="28"/>
      </w:r>
      <w:r w:rsidR="00E7376E" w:rsidRPr="006218BC">
        <w:rPr>
          <w:lang w:val="en-GB"/>
        </w:rPr>
        <w:t>. The firm claimed that such</w:t>
      </w:r>
      <w:r w:rsidR="00E564EA">
        <w:rPr>
          <w:lang w:val="en-GB"/>
        </w:rPr>
        <w:t xml:space="preserve"> a</w:t>
      </w:r>
      <w:r w:rsidR="00E7376E" w:rsidRPr="006218BC">
        <w:rPr>
          <w:lang w:val="en-GB"/>
        </w:rPr>
        <w:t xml:space="preserve"> system was not legal in the light of</w:t>
      </w:r>
      <w:r w:rsidR="00E564EA">
        <w:rPr>
          <w:lang w:val="en-GB"/>
        </w:rPr>
        <w:t xml:space="preserve"> the</w:t>
      </w:r>
      <w:r w:rsidR="00E7376E" w:rsidRPr="006218BC">
        <w:rPr>
          <w:lang w:val="en-GB"/>
        </w:rPr>
        <w:t xml:space="preserve"> fundamental rights laid down in the German constitution. The administrative court referred </w:t>
      </w:r>
      <w:r w:rsidR="008E48F6">
        <w:rPr>
          <w:lang w:val="en-GB"/>
        </w:rPr>
        <w:t>the</w:t>
      </w:r>
      <w:r w:rsidR="00E7376E" w:rsidRPr="006218BC">
        <w:rPr>
          <w:lang w:val="en-GB"/>
        </w:rPr>
        <w:t xml:space="preserve"> question to the CJEU.</w:t>
      </w:r>
    </w:p>
    <w:p w14:paraId="41F61FC7" w14:textId="77777777" w:rsidR="004202DE" w:rsidRPr="006218BC" w:rsidRDefault="004202DE" w:rsidP="00CD3D33">
      <w:pPr>
        <w:spacing w:line="360" w:lineRule="auto"/>
        <w:jc w:val="both"/>
        <w:rPr>
          <w:lang w:val="en-GB"/>
        </w:rPr>
      </w:pPr>
    </w:p>
    <w:p w14:paraId="4563E476" w14:textId="148AF47A" w:rsidR="00E7376E" w:rsidRPr="006218BC" w:rsidRDefault="00E7376E" w:rsidP="00CD3D33">
      <w:pPr>
        <w:spacing w:line="360" w:lineRule="auto"/>
        <w:jc w:val="both"/>
        <w:rPr>
          <w:lang w:val="en-GB"/>
        </w:rPr>
      </w:pPr>
      <w:r w:rsidRPr="006218BC">
        <w:rPr>
          <w:lang w:val="en-GB"/>
        </w:rPr>
        <w:t>The Court stressed that EU law was an “independent source of law”, so it could not be “overridden by rules of national law … without being deprived of its character as Community law and without the legal basis … itself bein</w:t>
      </w:r>
      <w:r w:rsidR="0005692A" w:rsidRPr="006218BC">
        <w:rPr>
          <w:lang w:val="en-GB"/>
        </w:rPr>
        <w:t>g called into question.”</w:t>
      </w:r>
      <w:r w:rsidR="0005692A" w:rsidRPr="006218BC">
        <w:rPr>
          <w:rStyle w:val="Funotenzeichen"/>
          <w:lang w:val="en-GB"/>
        </w:rPr>
        <w:footnoteReference w:id="29"/>
      </w:r>
      <w:r w:rsidR="0005692A" w:rsidRPr="006218BC">
        <w:rPr>
          <w:lang w:val="en-GB"/>
        </w:rPr>
        <w:t xml:space="preserve"> Such </w:t>
      </w:r>
      <w:r w:rsidRPr="006218BC">
        <w:rPr>
          <w:lang w:val="en-GB"/>
        </w:rPr>
        <w:t xml:space="preserve">recourse </w:t>
      </w:r>
      <w:r w:rsidR="0005692A" w:rsidRPr="006218BC">
        <w:rPr>
          <w:lang w:val="en-GB"/>
        </w:rPr>
        <w:t>to</w:t>
      </w:r>
      <w:r w:rsidRPr="006218BC">
        <w:rPr>
          <w:lang w:val="en-GB"/>
        </w:rPr>
        <w:t xml:space="preserve"> legal rules</w:t>
      </w:r>
      <w:r w:rsidR="00E564EA">
        <w:rPr>
          <w:lang w:val="en-GB"/>
        </w:rPr>
        <w:t>,</w:t>
      </w:r>
      <w:r w:rsidRPr="006218BC">
        <w:rPr>
          <w:lang w:val="en-GB"/>
        </w:rPr>
        <w:t xml:space="preserve"> “would have an adverse effect on the uniformity and efficacy of Community law.”</w:t>
      </w:r>
      <w:r w:rsidR="0005692A" w:rsidRPr="006218BC">
        <w:rPr>
          <w:rStyle w:val="Funotenzeichen"/>
          <w:lang w:val="en-GB"/>
        </w:rPr>
        <w:footnoteReference w:id="30"/>
      </w:r>
    </w:p>
    <w:p w14:paraId="11B96D6F" w14:textId="77777777" w:rsidR="00455156" w:rsidRPr="006218BC" w:rsidRDefault="00455156" w:rsidP="00CD3D33">
      <w:pPr>
        <w:spacing w:line="360" w:lineRule="auto"/>
        <w:jc w:val="both"/>
        <w:rPr>
          <w:lang w:val="en-GB"/>
        </w:rPr>
      </w:pPr>
    </w:p>
    <w:p w14:paraId="3F57A987" w14:textId="05A38C6E" w:rsidR="00455156" w:rsidRPr="006218BC" w:rsidRDefault="00455156" w:rsidP="00CD3D33">
      <w:pPr>
        <w:spacing w:line="360" w:lineRule="auto"/>
        <w:jc w:val="both"/>
        <w:rPr>
          <w:lang w:val="en-GB"/>
        </w:rPr>
      </w:pPr>
      <w:r w:rsidRPr="006218BC">
        <w:rPr>
          <w:lang w:val="en-GB"/>
        </w:rPr>
        <w:t>The Court, however, also stated that “respect for fundamental rights forms an integral part” of EU law and that their protection “must be ensured within the framework of the structure and objectives of the Community.”</w:t>
      </w:r>
      <w:r w:rsidR="00780F84">
        <w:rPr>
          <w:rStyle w:val="Funotenzeichen"/>
          <w:lang w:val="en-GB"/>
        </w:rPr>
        <w:footnoteReference w:id="31"/>
      </w:r>
      <w:r w:rsidRPr="006218BC">
        <w:rPr>
          <w:lang w:val="en-GB"/>
        </w:rPr>
        <w:t xml:space="preserve"> </w:t>
      </w:r>
      <w:r w:rsidR="00E564EA">
        <w:rPr>
          <w:lang w:val="en-GB"/>
        </w:rPr>
        <w:t>The Court ruled that</w:t>
      </w:r>
      <w:r w:rsidRPr="006218BC">
        <w:rPr>
          <w:lang w:val="en-GB"/>
        </w:rPr>
        <w:t xml:space="preserve"> the deposit system was not viewed as a breach of fundamental rights.</w:t>
      </w:r>
    </w:p>
    <w:p w14:paraId="2298C586" w14:textId="77777777" w:rsidR="00E7376E" w:rsidRPr="006218BC" w:rsidRDefault="00E7376E" w:rsidP="00CD3D33">
      <w:pPr>
        <w:spacing w:line="360" w:lineRule="auto"/>
        <w:jc w:val="both"/>
        <w:rPr>
          <w:lang w:val="en-GB"/>
        </w:rPr>
      </w:pPr>
    </w:p>
    <w:p w14:paraId="75463849" w14:textId="6CA8AFB2" w:rsidR="00C83291" w:rsidRDefault="00455156" w:rsidP="00CD3D33">
      <w:pPr>
        <w:spacing w:line="360" w:lineRule="auto"/>
        <w:jc w:val="both"/>
        <w:rPr>
          <w:lang w:val="en-GB"/>
        </w:rPr>
      </w:pPr>
      <w:r w:rsidRPr="006218BC">
        <w:rPr>
          <w:lang w:val="en-GB"/>
        </w:rPr>
        <w:t xml:space="preserve">In </w:t>
      </w:r>
      <w:proofErr w:type="spellStart"/>
      <w:r w:rsidRPr="006218BC">
        <w:rPr>
          <w:i/>
          <w:lang w:val="en-GB"/>
        </w:rPr>
        <w:t>Simmenthal</w:t>
      </w:r>
      <w:proofErr w:type="spellEnd"/>
      <w:r w:rsidRPr="006218BC">
        <w:rPr>
          <w:lang w:val="en-GB"/>
        </w:rPr>
        <w:t xml:space="preserve"> </w:t>
      </w:r>
      <w:r w:rsidR="00F81760" w:rsidRPr="006218BC">
        <w:rPr>
          <w:lang w:val="en-GB"/>
        </w:rPr>
        <w:t>a company imported beef</w:t>
      </w:r>
      <w:r w:rsidR="00780F84">
        <w:rPr>
          <w:lang w:val="en-GB"/>
        </w:rPr>
        <w:t xml:space="preserve"> to Italy</w:t>
      </w:r>
      <w:r w:rsidR="00F81760" w:rsidRPr="006218BC">
        <w:rPr>
          <w:lang w:val="en-GB"/>
        </w:rPr>
        <w:t xml:space="preserve"> from France and was charged for a veterinary inspection at the </w:t>
      </w:r>
      <w:r w:rsidR="001E22CB">
        <w:rPr>
          <w:lang w:val="en-GB"/>
        </w:rPr>
        <w:t>border</w:t>
      </w:r>
      <w:r w:rsidR="00F81760" w:rsidRPr="006218BC">
        <w:rPr>
          <w:lang w:val="en-GB"/>
        </w:rPr>
        <w:t xml:space="preserve">. </w:t>
      </w:r>
      <w:r w:rsidR="001E22CB">
        <w:rPr>
          <w:lang w:val="en-GB"/>
        </w:rPr>
        <w:t>The company</w:t>
      </w:r>
      <w:r w:rsidR="00F81760" w:rsidRPr="006218BC">
        <w:rPr>
          <w:lang w:val="en-GB"/>
        </w:rPr>
        <w:t xml:space="preserve"> claimed that such fees were incompatible with EU law. </w:t>
      </w:r>
      <w:r w:rsidR="001E22CB">
        <w:rPr>
          <w:lang w:val="en-GB"/>
        </w:rPr>
        <w:t>In a preliminary ruling, the CJEU agreed</w:t>
      </w:r>
      <w:r w:rsidR="00F81760" w:rsidRPr="006218BC">
        <w:rPr>
          <w:lang w:val="en-GB"/>
        </w:rPr>
        <w:t>. The Italian government however refused</w:t>
      </w:r>
      <w:r w:rsidR="001E22CB">
        <w:rPr>
          <w:lang w:val="en-GB"/>
        </w:rPr>
        <w:t xml:space="preserve"> to accept this decision and</w:t>
      </w:r>
      <w:r w:rsidR="00F81760" w:rsidRPr="006218BC">
        <w:rPr>
          <w:lang w:val="en-GB"/>
        </w:rPr>
        <w:t xml:space="preserve"> to repay the money</w:t>
      </w:r>
      <w:r w:rsidR="001E22CB">
        <w:rPr>
          <w:lang w:val="en-GB"/>
        </w:rPr>
        <w:t xml:space="preserve">. It demanded that </w:t>
      </w:r>
      <w:r w:rsidR="00F81760" w:rsidRPr="006218BC">
        <w:rPr>
          <w:lang w:val="en-GB"/>
        </w:rPr>
        <w:t xml:space="preserve">the national Constitutional Court had </w:t>
      </w:r>
      <w:r w:rsidR="001E22CB">
        <w:rPr>
          <w:lang w:val="en-GB"/>
        </w:rPr>
        <w:t xml:space="preserve">to confirm the CJEU´s ruling </w:t>
      </w:r>
      <w:r w:rsidR="008E48F6">
        <w:rPr>
          <w:lang w:val="en-GB"/>
        </w:rPr>
        <w:t xml:space="preserve">before </w:t>
      </w:r>
      <w:r w:rsidR="001E22CB">
        <w:rPr>
          <w:lang w:val="en-GB"/>
        </w:rPr>
        <w:t>rescind</w:t>
      </w:r>
      <w:r w:rsidR="008E48F6">
        <w:rPr>
          <w:lang w:val="en-GB"/>
        </w:rPr>
        <w:t>ing the national law</w:t>
      </w:r>
      <w:r w:rsidR="00F81760" w:rsidRPr="006218BC">
        <w:rPr>
          <w:lang w:val="en-GB"/>
        </w:rPr>
        <w:t xml:space="preserve">. The national court again asked the CJEU </w:t>
      </w:r>
      <w:r w:rsidR="001E22CB">
        <w:rPr>
          <w:lang w:val="en-GB"/>
        </w:rPr>
        <w:t>for guidance</w:t>
      </w:r>
      <w:r w:rsidR="00F81760" w:rsidRPr="006218BC">
        <w:rPr>
          <w:lang w:val="en-GB"/>
        </w:rPr>
        <w:t>.</w:t>
      </w:r>
      <w:r w:rsidR="00C83291">
        <w:rPr>
          <w:lang w:val="en-GB"/>
        </w:rPr>
        <w:t xml:space="preserve"> </w:t>
      </w:r>
      <w:r w:rsidR="00F81760" w:rsidRPr="006218BC">
        <w:rPr>
          <w:lang w:val="en-GB"/>
        </w:rPr>
        <w:t xml:space="preserve">The </w:t>
      </w:r>
      <w:r w:rsidR="001E22CB">
        <w:rPr>
          <w:lang w:val="en-GB"/>
        </w:rPr>
        <w:t>CJEU</w:t>
      </w:r>
      <w:r w:rsidR="00F81760" w:rsidRPr="006218BC">
        <w:rPr>
          <w:lang w:val="en-GB"/>
        </w:rPr>
        <w:t xml:space="preserve"> </w:t>
      </w:r>
      <w:r w:rsidR="00CB4D12">
        <w:rPr>
          <w:lang w:val="en-GB"/>
        </w:rPr>
        <w:t>ruled</w:t>
      </w:r>
      <w:r w:rsidR="00F81760" w:rsidRPr="006218BC">
        <w:rPr>
          <w:lang w:val="en-GB"/>
        </w:rPr>
        <w:t xml:space="preserve"> that </w:t>
      </w:r>
      <w:r w:rsidR="000A1427">
        <w:rPr>
          <w:lang w:val="en-GB"/>
        </w:rPr>
        <w:t>“every national court must</w:t>
      </w:r>
      <w:r w:rsidR="0042579C" w:rsidRPr="006218BC">
        <w:rPr>
          <w:lang w:val="en-GB"/>
        </w:rPr>
        <w:t xml:space="preserve"> </w:t>
      </w:r>
      <w:r w:rsidR="000A1427">
        <w:rPr>
          <w:lang w:val="en-GB"/>
        </w:rPr>
        <w:t>[</w:t>
      </w:r>
      <w:r w:rsidR="0042579C" w:rsidRPr="006218BC">
        <w:rPr>
          <w:lang w:val="en-GB"/>
        </w:rPr>
        <w:t>…</w:t>
      </w:r>
      <w:r w:rsidR="000A1427">
        <w:rPr>
          <w:lang w:val="en-GB"/>
        </w:rPr>
        <w:t>]</w:t>
      </w:r>
      <w:r w:rsidR="0042579C" w:rsidRPr="006218BC">
        <w:rPr>
          <w:lang w:val="en-GB"/>
        </w:rPr>
        <w:t xml:space="preserve"> apply </w:t>
      </w:r>
      <w:r w:rsidR="00C031F0" w:rsidRPr="006218BC">
        <w:rPr>
          <w:lang w:val="en-GB"/>
        </w:rPr>
        <w:t>Community</w:t>
      </w:r>
      <w:r w:rsidR="0042579C" w:rsidRPr="006218BC">
        <w:rPr>
          <w:lang w:val="en-GB"/>
        </w:rPr>
        <w:t xml:space="preserve"> law in its entirety and … set aside any provision of national law which may conflict with it”</w:t>
      </w:r>
      <w:r w:rsidR="0042579C" w:rsidRPr="006218BC">
        <w:rPr>
          <w:rStyle w:val="Funotenzeichen"/>
          <w:lang w:val="en-GB"/>
        </w:rPr>
        <w:footnoteReference w:id="32"/>
      </w:r>
      <w:r w:rsidR="0042579C" w:rsidRPr="006218BC">
        <w:rPr>
          <w:lang w:val="en-GB"/>
        </w:rPr>
        <w:t xml:space="preserve"> as otherwise it would “imperil the very foundations of the </w:t>
      </w:r>
      <w:r w:rsidR="00C031F0" w:rsidRPr="006218BC">
        <w:rPr>
          <w:lang w:val="en-GB"/>
        </w:rPr>
        <w:t>Community</w:t>
      </w:r>
      <w:r w:rsidR="0042579C" w:rsidRPr="006218BC">
        <w:rPr>
          <w:lang w:val="en-GB"/>
        </w:rPr>
        <w:t>.”</w:t>
      </w:r>
      <w:r w:rsidR="0042579C" w:rsidRPr="006218BC">
        <w:rPr>
          <w:rStyle w:val="Funotenzeichen"/>
          <w:lang w:val="en-GB"/>
        </w:rPr>
        <w:footnoteReference w:id="33"/>
      </w:r>
      <w:r w:rsidR="00C83291">
        <w:rPr>
          <w:lang w:val="en-GB"/>
        </w:rPr>
        <w:t xml:space="preserve"> </w:t>
      </w:r>
    </w:p>
    <w:p w14:paraId="3EFE1C50" w14:textId="77777777" w:rsidR="00C83291" w:rsidRDefault="00C83291" w:rsidP="00CD3D33">
      <w:pPr>
        <w:spacing w:line="360" w:lineRule="auto"/>
        <w:jc w:val="both"/>
        <w:rPr>
          <w:lang w:val="en-GB"/>
        </w:rPr>
      </w:pPr>
    </w:p>
    <w:p w14:paraId="050160F3" w14:textId="5696981C" w:rsidR="000119C6" w:rsidRPr="006218BC" w:rsidRDefault="00CB4D12" w:rsidP="00CD3D33">
      <w:pPr>
        <w:spacing w:line="360" w:lineRule="auto"/>
        <w:jc w:val="both"/>
        <w:rPr>
          <w:lang w:val="en-GB"/>
        </w:rPr>
      </w:pPr>
      <w:r>
        <w:rPr>
          <w:lang w:val="en-GB"/>
        </w:rPr>
        <w:t>Consequently, t</w:t>
      </w:r>
      <w:r w:rsidR="0042579C" w:rsidRPr="006218BC">
        <w:rPr>
          <w:lang w:val="en-GB"/>
        </w:rPr>
        <w:t xml:space="preserve">he </w:t>
      </w:r>
      <w:r w:rsidR="00EB17C1">
        <w:rPr>
          <w:lang w:val="en-GB"/>
        </w:rPr>
        <w:t>Italian</w:t>
      </w:r>
      <w:r w:rsidR="0042579C" w:rsidRPr="006218BC">
        <w:rPr>
          <w:lang w:val="en-GB"/>
        </w:rPr>
        <w:t xml:space="preserve"> court </w:t>
      </w:r>
      <w:r w:rsidR="00EB17C1">
        <w:rPr>
          <w:lang w:val="en-GB"/>
        </w:rPr>
        <w:t>had to</w:t>
      </w:r>
      <w:r w:rsidR="0042579C" w:rsidRPr="006218BC">
        <w:rPr>
          <w:lang w:val="en-GB"/>
        </w:rPr>
        <w:t xml:space="preserve"> not</w:t>
      </w:r>
      <w:r>
        <w:rPr>
          <w:lang w:val="en-GB"/>
        </w:rPr>
        <w:t xml:space="preserve"> obey the national government`s order to</w:t>
      </w:r>
      <w:r w:rsidR="0042579C" w:rsidRPr="006218BC">
        <w:rPr>
          <w:lang w:val="en-GB"/>
        </w:rPr>
        <w:t xml:space="preserve"> wait for the </w:t>
      </w:r>
      <w:r>
        <w:rPr>
          <w:lang w:val="en-GB"/>
        </w:rPr>
        <w:t>confirmation</w:t>
      </w:r>
      <w:r w:rsidR="0042579C" w:rsidRPr="006218BC">
        <w:rPr>
          <w:lang w:val="en-GB"/>
        </w:rPr>
        <w:t xml:space="preserve"> of th</w:t>
      </w:r>
      <w:r>
        <w:rPr>
          <w:lang w:val="en-GB"/>
        </w:rPr>
        <w:t>e Constitutional Court of Italy.</w:t>
      </w:r>
      <w:r w:rsidR="0042579C" w:rsidRPr="006218BC">
        <w:rPr>
          <w:lang w:val="en-GB"/>
        </w:rPr>
        <w:t xml:space="preserve"> </w:t>
      </w:r>
      <w:r>
        <w:rPr>
          <w:lang w:val="en-GB"/>
        </w:rPr>
        <w:t>I</w:t>
      </w:r>
      <w:r w:rsidR="0042579C" w:rsidRPr="006218BC">
        <w:rPr>
          <w:lang w:val="en-GB"/>
        </w:rPr>
        <w:t>nstead</w:t>
      </w:r>
      <w:r>
        <w:rPr>
          <w:lang w:val="en-GB"/>
        </w:rPr>
        <w:t xml:space="preserve"> it</w:t>
      </w:r>
      <w:r w:rsidR="0042579C" w:rsidRPr="006218BC">
        <w:rPr>
          <w:lang w:val="en-GB"/>
        </w:rPr>
        <w:t xml:space="preserve"> </w:t>
      </w:r>
      <w:r w:rsidR="00EB17C1">
        <w:rPr>
          <w:lang w:val="en-GB"/>
        </w:rPr>
        <w:t>had</w:t>
      </w:r>
      <w:r>
        <w:rPr>
          <w:lang w:val="en-GB"/>
        </w:rPr>
        <w:t xml:space="preserve"> </w:t>
      </w:r>
      <w:r w:rsidR="0042579C" w:rsidRPr="006218BC">
        <w:rPr>
          <w:lang w:val="en-GB"/>
        </w:rPr>
        <w:t>to set aside</w:t>
      </w:r>
      <w:r w:rsidR="0090154E">
        <w:rPr>
          <w:lang w:val="en-GB"/>
        </w:rPr>
        <w:t xml:space="preserve"> </w:t>
      </w:r>
      <w:r w:rsidR="00EB17C1">
        <w:rPr>
          <w:lang w:val="en-GB"/>
        </w:rPr>
        <w:t>the</w:t>
      </w:r>
      <w:r w:rsidR="0090154E">
        <w:rPr>
          <w:lang w:val="en-GB"/>
        </w:rPr>
        <w:t xml:space="preserve"> conflicting provision of national</w:t>
      </w:r>
      <w:r w:rsidR="00EB17C1">
        <w:rPr>
          <w:lang w:val="en-GB"/>
        </w:rPr>
        <w:t xml:space="preserve"> constitutional law. </w:t>
      </w:r>
    </w:p>
    <w:p w14:paraId="55E24234" w14:textId="77777777" w:rsidR="000119C6" w:rsidRPr="006218BC" w:rsidRDefault="000119C6" w:rsidP="00CD3D33">
      <w:pPr>
        <w:spacing w:line="360" w:lineRule="auto"/>
        <w:jc w:val="both"/>
        <w:rPr>
          <w:lang w:val="en-GB"/>
        </w:rPr>
      </w:pPr>
    </w:p>
    <w:p w14:paraId="35C954E4" w14:textId="3A4C0F00" w:rsidR="0042579C" w:rsidRPr="006218BC" w:rsidRDefault="00EB17C1" w:rsidP="00CD3D33">
      <w:pPr>
        <w:spacing w:line="360" w:lineRule="auto"/>
        <w:jc w:val="both"/>
        <w:rPr>
          <w:lang w:val="en-GB"/>
        </w:rPr>
      </w:pPr>
      <w:r>
        <w:rPr>
          <w:lang w:val="en-GB"/>
        </w:rPr>
        <w:t xml:space="preserve">In </w:t>
      </w:r>
      <w:proofErr w:type="spellStart"/>
      <w:r w:rsidRPr="00EB17C1">
        <w:rPr>
          <w:i/>
          <w:lang w:val="en-GB"/>
        </w:rPr>
        <w:t>Simmenthal</w:t>
      </w:r>
      <w:proofErr w:type="spellEnd"/>
      <w:r>
        <w:rPr>
          <w:lang w:val="en-GB"/>
        </w:rPr>
        <w:t xml:space="preserve">, </w:t>
      </w:r>
      <w:r w:rsidR="000119C6" w:rsidRPr="006218BC">
        <w:rPr>
          <w:lang w:val="en-GB"/>
        </w:rPr>
        <w:t xml:space="preserve">The CJEU has therefore explicitly claimed primacy over national constitutional law and that way positioned itself as the highest court in the </w:t>
      </w:r>
      <w:r>
        <w:rPr>
          <w:lang w:val="en-GB"/>
        </w:rPr>
        <w:t>EU</w:t>
      </w:r>
      <w:r w:rsidR="000119C6" w:rsidRPr="006218BC">
        <w:rPr>
          <w:lang w:val="en-GB"/>
        </w:rPr>
        <w:t xml:space="preserve">. This did not bode well with the </w:t>
      </w:r>
      <w:r>
        <w:rPr>
          <w:lang w:val="en-GB"/>
        </w:rPr>
        <w:t>some national</w:t>
      </w:r>
      <w:r w:rsidR="000119C6" w:rsidRPr="006218BC">
        <w:rPr>
          <w:lang w:val="en-GB"/>
        </w:rPr>
        <w:t xml:space="preserve"> courts</w:t>
      </w:r>
      <w:r>
        <w:rPr>
          <w:lang w:val="en-GB"/>
        </w:rPr>
        <w:t>, like the federal constitutional c</w:t>
      </w:r>
      <w:r w:rsidR="000119C6" w:rsidRPr="006218BC">
        <w:rPr>
          <w:lang w:val="en-GB"/>
        </w:rPr>
        <w:t>ou</w:t>
      </w:r>
      <w:r>
        <w:rPr>
          <w:lang w:val="en-GB"/>
        </w:rPr>
        <w:t>rts in Germany, Italy and Spain, which commonly</w:t>
      </w:r>
      <w:r w:rsidR="000119C6" w:rsidRPr="006218BC">
        <w:rPr>
          <w:lang w:val="en-GB"/>
        </w:rPr>
        <w:t xml:space="preserve"> challenge</w:t>
      </w:r>
      <w:r>
        <w:rPr>
          <w:lang w:val="en-GB"/>
        </w:rPr>
        <w:t>d</w:t>
      </w:r>
      <w:r w:rsidR="000119C6" w:rsidRPr="006218BC">
        <w:rPr>
          <w:lang w:val="en-GB"/>
        </w:rPr>
        <w:t xml:space="preserve"> the CJEU and </w:t>
      </w:r>
      <w:r>
        <w:rPr>
          <w:lang w:val="en-GB"/>
        </w:rPr>
        <w:t>its</w:t>
      </w:r>
      <w:r w:rsidR="000119C6" w:rsidRPr="006218BC">
        <w:rPr>
          <w:lang w:val="en-GB"/>
        </w:rPr>
        <w:t xml:space="preserve"> (in)ability to protect fundamental rights.</w:t>
      </w:r>
      <w:r>
        <w:rPr>
          <w:lang w:val="en-GB"/>
        </w:rPr>
        <w:t xml:space="preserve"> The stage was set for </w:t>
      </w:r>
      <w:r w:rsidR="00695D20">
        <w:rPr>
          <w:lang w:val="en-GB"/>
        </w:rPr>
        <w:t>a serious showdown between the leading courts in legal Europe.</w:t>
      </w:r>
    </w:p>
    <w:p w14:paraId="7A153027" w14:textId="080A6713" w:rsidR="009B440D" w:rsidRPr="006218BC" w:rsidRDefault="009B440D" w:rsidP="00CD3D33">
      <w:pPr>
        <w:pStyle w:val="berschrift2"/>
        <w:jc w:val="both"/>
        <w:rPr>
          <w:lang w:val="en-GB"/>
        </w:rPr>
      </w:pPr>
      <w:bookmarkStart w:id="4" w:name="_Toc311385410"/>
      <w:r w:rsidRPr="006218BC">
        <w:rPr>
          <w:lang w:val="en-GB"/>
        </w:rPr>
        <w:t>The Introduction of Fundamental Rights as a source of EU law</w:t>
      </w:r>
      <w:bookmarkEnd w:id="4"/>
    </w:p>
    <w:p w14:paraId="19E550D7" w14:textId="77777777" w:rsidR="009B440D" w:rsidRPr="006218BC" w:rsidRDefault="009B440D" w:rsidP="00CD3D33">
      <w:pPr>
        <w:spacing w:line="360" w:lineRule="auto"/>
        <w:jc w:val="both"/>
        <w:rPr>
          <w:lang w:val="en-GB"/>
        </w:rPr>
      </w:pPr>
    </w:p>
    <w:p w14:paraId="0DD5BADF" w14:textId="1E693741" w:rsidR="00EF3B60" w:rsidRPr="006218BC" w:rsidRDefault="00576874" w:rsidP="00CD3D33">
      <w:pPr>
        <w:spacing w:line="360" w:lineRule="auto"/>
        <w:jc w:val="both"/>
        <w:rPr>
          <w:lang w:val="en-GB"/>
        </w:rPr>
      </w:pPr>
      <w:r>
        <w:rPr>
          <w:lang w:val="en-GB"/>
        </w:rPr>
        <w:t xml:space="preserve">The national courts` upcoming </w:t>
      </w:r>
      <w:r w:rsidR="00695D20">
        <w:rPr>
          <w:lang w:val="en-GB"/>
        </w:rPr>
        <w:t>reactions were “</w:t>
      </w:r>
      <w:r w:rsidR="001F51CB" w:rsidRPr="006218BC">
        <w:rPr>
          <w:lang w:val="en-GB"/>
        </w:rPr>
        <w:t>a brutal blow”</w:t>
      </w:r>
      <w:r w:rsidR="001F51CB" w:rsidRPr="006218BC">
        <w:rPr>
          <w:rStyle w:val="Funotenzeichen"/>
          <w:lang w:val="en-GB"/>
        </w:rPr>
        <w:footnoteReference w:id="34"/>
      </w:r>
      <w:r w:rsidR="001F51CB" w:rsidRPr="006218BC">
        <w:rPr>
          <w:lang w:val="en-GB"/>
        </w:rPr>
        <w:t xml:space="preserve"> t</w:t>
      </w:r>
      <w:r w:rsidR="004202DE" w:rsidRPr="006218BC">
        <w:rPr>
          <w:lang w:val="en-GB"/>
        </w:rPr>
        <w:t xml:space="preserve">he CJEU consequently </w:t>
      </w:r>
      <w:r w:rsidR="000119C6" w:rsidRPr="006218BC">
        <w:rPr>
          <w:lang w:val="en-GB"/>
        </w:rPr>
        <w:t xml:space="preserve">had to react. </w:t>
      </w:r>
      <w:r>
        <w:rPr>
          <w:lang w:val="en-GB"/>
        </w:rPr>
        <w:t>To be c</w:t>
      </w:r>
      <w:r w:rsidR="000119C6" w:rsidRPr="006218BC">
        <w:rPr>
          <w:lang w:val="en-GB"/>
        </w:rPr>
        <w:t xml:space="preserve">hallenged, in particular by the German Federal Constitutional Court, </w:t>
      </w:r>
      <w:r w:rsidR="004202DE" w:rsidRPr="006218BC">
        <w:rPr>
          <w:lang w:val="en-GB"/>
        </w:rPr>
        <w:t xml:space="preserve">over its </w:t>
      </w:r>
      <w:r w:rsidR="00695D20">
        <w:rPr>
          <w:lang w:val="en-GB"/>
        </w:rPr>
        <w:t>inadequacy</w:t>
      </w:r>
      <w:r w:rsidR="000119C6" w:rsidRPr="006218BC">
        <w:rPr>
          <w:lang w:val="en-GB"/>
        </w:rPr>
        <w:t xml:space="preserve"> in</w:t>
      </w:r>
      <w:r w:rsidR="00695D20">
        <w:rPr>
          <w:lang w:val="en-GB"/>
        </w:rPr>
        <w:t xml:space="preserve"> protecting</w:t>
      </w:r>
      <w:r w:rsidR="000119C6" w:rsidRPr="006218BC">
        <w:rPr>
          <w:lang w:val="en-GB"/>
        </w:rPr>
        <w:t xml:space="preserve"> </w:t>
      </w:r>
      <w:r w:rsidR="004202DE" w:rsidRPr="006218BC">
        <w:rPr>
          <w:lang w:val="en-GB"/>
        </w:rPr>
        <w:t>human righ</w:t>
      </w:r>
      <w:r w:rsidR="00EF3B60" w:rsidRPr="006218BC">
        <w:rPr>
          <w:lang w:val="en-GB"/>
        </w:rPr>
        <w:t xml:space="preserve">ts, the Court </w:t>
      </w:r>
      <w:r w:rsidR="00695D20">
        <w:rPr>
          <w:lang w:val="en-GB"/>
        </w:rPr>
        <w:t>was compelled to develop</w:t>
      </w:r>
      <w:r w:rsidR="004202DE" w:rsidRPr="006218BC">
        <w:rPr>
          <w:lang w:val="en-GB"/>
        </w:rPr>
        <w:t xml:space="preserve"> a fundamental rights doctrine. Due to the absence of any human rights</w:t>
      </w:r>
      <w:r w:rsidR="000119C6" w:rsidRPr="006218BC">
        <w:rPr>
          <w:lang w:val="en-GB"/>
        </w:rPr>
        <w:t xml:space="preserve"> provisions</w:t>
      </w:r>
      <w:r w:rsidR="004202DE" w:rsidRPr="006218BC">
        <w:rPr>
          <w:lang w:val="en-GB"/>
        </w:rPr>
        <w:t xml:space="preserve"> in Treaty law, </w:t>
      </w:r>
      <w:r w:rsidR="000119C6" w:rsidRPr="006218BC">
        <w:rPr>
          <w:lang w:val="en-GB"/>
        </w:rPr>
        <w:t>in a first step it</w:t>
      </w:r>
      <w:r w:rsidR="004202DE" w:rsidRPr="006218BC">
        <w:rPr>
          <w:lang w:val="en-GB"/>
        </w:rPr>
        <w:t xml:space="preserve"> needed to establish fundamental rights as a source of EU law.</w:t>
      </w:r>
    </w:p>
    <w:p w14:paraId="3F394B4F" w14:textId="77777777" w:rsidR="00EF3B60" w:rsidRPr="006218BC" w:rsidRDefault="00EF3B60" w:rsidP="00CD3D33">
      <w:pPr>
        <w:spacing w:line="360" w:lineRule="auto"/>
        <w:jc w:val="both"/>
        <w:rPr>
          <w:lang w:val="en-GB"/>
        </w:rPr>
      </w:pPr>
    </w:p>
    <w:p w14:paraId="1A2DE026" w14:textId="135EC2BA" w:rsidR="004202DE" w:rsidRPr="006218BC" w:rsidRDefault="00EF3B60" w:rsidP="00CD3D33">
      <w:pPr>
        <w:spacing w:line="360" w:lineRule="auto"/>
        <w:jc w:val="both"/>
        <w:rPr>
          <w:lang w:val="en-GB"/>
        </w:rPr>
      </w:pPr>
      <w:r w:rsidRPr="006218BC">
        <w:rPr>
          <w:lang w:val="en-GB"/>
        </w:rPr>
        <w:t xml:space="preserve">For that purpose the Court used the idea of general principles as a source of Union law. It had mentioned that </w:t>
      </w:r>
      <w:r w:rsidR="00775CDD" w:rsidRPr="006218BC">
        <w:rPr>
          <w:lang w:val="en-GB"/>
        </w:rPr>
        <w:t>idea i</w:t>
      </w:r>
      <w:r w:rsidR="004202DE" w:rsidRPr="006218BC">
        <w:rPr>
          <w:lang w:val="en-GB"/>
        </w:rPr>
        <w:t xml:space="preserve">n </w:t>
      </w:r>
      <w:proofErr w:type="spellStart"/>
      <w:r w:rsidR="004202DE" w:rsidRPr="006218BC">
        <w:rPr>
          <w:i/>
          <w:lang w:val="en-GB"/>
        </w:rPr>
        <w:t>Stauder</w:t>
      </w:r>
      <w:proofErr w:type="spellEnd"/>
      <w:r w:rsidRPr="006218BC">
        <w:rPr>
          <w:rStyle w:val="Funotenzeichen"/>
          <w:i/>
          <w:lang w:val="en-GB"/>
        </w:rPr>
        <w:footnoteReference w:id="35"/>
      </w:r>
      <w:r w:rsidR="00775CDD" w:rsidRPr="006218BC">
        <w:rPr>
          <w:lang w:val="en-GB"/>
        </w:rPr>
        <w:t xml:space="preserve"> in 1969</w:t>
      </w:r>
      <w:r w:rsidRPr="006218BC">
        <w:rPr>
          <w:lang w:val="en-GB"/>
        </w:rPr>
        <w:t>.</w:t>
      </w:r>
      <w:r w:rsidR="00455156" w:rsidRPr="006218BC">
        <w:rPr>
          <w:lang w:val="en-GB"/>
        </w:rPr>
        <w:t xml:space="preserve"> </w:t>
      </w:r>
      <w:r w:rsidR="00455156" w:rsidRPr="006218BC">
        <w:rPr>
          <w:rFonts w:eastAsia="Times New Roman" w:cs="Times New Roman"/>
          <w:lang w:val="en-GB"/>
        </w:rPr>
        <w:t xml:space="preserve">In </w:t>
      </w:r>
      <w:r w:rsidRPr="006218BC">
        <w:rPr>
          <w:rFonts w:eastAsia="Times New Roman" w:cs="Times New Roman"/>
          <w:lang w:val="en-GB"/>
        </w:rPr>
        <w:t>that</w:t>
      </w:r>
      <w:r w:rsidR="00455156" w:rsidRPr="006218BC">
        <w:rPr>
          <w:rFonts w:eastAsia="Times New Roman" w:cs="Times New Roman"/>
          <w:lang w:val="en-GB"/>
        </w:rPr>
        <w:t xml:space="preserve"> </w:t>
      </w:r>
      <w:r w:rsidR="00455156" w:rsidRPr="006218BC">
        <w:rPr>
          <w:rStyle w:val="hi"/>
          <w:rFonts w:eastAsia="Times New Roman" w:cs="Times New Roman"/>
          <w:lang w:val="en-GB"/>
        </w:rPr>
        <w:t>case</w:t>
      </w:r>
      <w:r w:rsidR="00455156" w:rsidRPr="006218BC">
        <w:rPr>
          <w:rFonts w:eastAsia="Times New Roman" w:cs="Times New Roman"/>
          <w:lang w:val="en-GB"/>
        </w:rPr>
        <w:t xml:space="preserve"> the </w:t>
      </w:r>
      <w:r w:rsidRPr="006218BC">
        <w:rPr>
          <w:rFonts w:eastAsia="Times New Roman" w:cs="Times New Roman"/>
          <w:lang w:val="en-GB"/>
        </w:rPr>
        <w:t>CJEU</w:t>
      </w:r>
      <w:r w:rsidR="00455156" w:rsidRPr="006218BC">
        <w:rPr>
          <w:rFonts w:eastAsia="Times New Roman" w:cs="Times New Roman"/>
          <w:lang w:val="en-GB"/>
        </w:rPr>
        <w:t xml:space="preserve"> acknowl</w:t>
      </w:r>
      <w:r w:rsidRPr="006218BC">
        <w:rPr>
          <w:rFonts w:eastAsia="Times New Roman" w:cs="Times New Roman"/>
          <w:lang w:val="en-GB"/>
        </w:rPr>
        <w:t xml:space="preserve">edged </w:t>
      </w:r>
      <w:r w:rsidRPr="00695D20">
        <w:rPr>
          <w:rFonts w:eastAsia="Times New Roman" w:cs="Times New Roman"/>
          <w:i/>
          <w:lang w:val="en-GB"/>
        </w:rPr>
        <w:t>in obiter</w:t>
      </w:r>
      <w:r w:rsidRPr="00695D20">
        <w:rPr>
          <w:rFonts w:eastAsia="Times New Roman" w:cs="Times New Roman"/>
          <w:lang w:val="en-GB"/>
        </w:rPr>
        <w:t xml:space="preserve"> that</w:t>
      </w:r>
      <w:r w:rsidR="00695D20">
        <w:rPr>
          <w:rFonts w:eastAsia="Times New Roman" w:cs="Times New Roman"/>
          <w:lang w:val="en-GB"/>
        </w:rPr>
        <w:t xml:space="preserve"> “t</w:t>
      </w:r>
      <w:r w:rsidR="00455156" w:rsidRPr="006218BC">
        <w:rPr>
          <w:rFonts w:eastAsia="Times New Roman" w:cs="Times New Roman"/>
          <w:lang w:val="en-GB"/>
        </w:rPr>
        <w:t>he fundamental human rights are enshrined in the general principles of community</w:t>
      </w:r>
      <w:r w:rsidRPr="006218BC">
        <w:rPr>
          <w:rFonts w:eastAsia="Times New Roman" w:cs="Times New Roman"/>
          <w:lang w:val="en-GB"/>
        </w:rPr>
        <w:t xml:space="preserve"> law and protected by the Court“.</w:t>
      </w:r>
      <w:r w:rsidRPr="006218BC">
        <w:rPr>
          <w:rStyle w:val="Funotenzeichen"/>
          <w:rFonts w:eastAsia="Times New Roman" w:cs="Times New Roman"/>
          <w:lang w:val="en-GB"/>
        </w:rPr>
        <w:footnoteReference w:id="36"/>
      </w:r>
      <w:r w:rsidR="00F9521C" w:rsidRPr="006218BC">
        <w:rPr>
          <w:rFonts w:eastAsia="Times New Roman" w:cs="Times New Roman"/>
          <w:lang w:val="en-GB"/>
        </w:rPr>
        <w:t xml:space="preserve"> Hence, the Court stated to „interpret EU measures in the light of fundamental rights instruments.“</w:t>
      </w:r>
      <w:r w:rsidR="00F9521C" w:rsidRPr="006218BC">
        <w:rPr>
          <w:rStyle w:val="Funotenzeichen"/>
          <w:rFonts w:eastAsia="Times New Roman" w:cs="Times New Roman"/>
          <w:lang w:val="en-GB"/>
        </w:rPr>
        <w:footnoteReference w:id="37"/>
      </w:r>
      <w:r w:rsidR="00F9521C" w:rsidRPr="006218BC">
        <w:rPr>
          <w:rFonts w:eastAsia="Times New Roman" w:cs="Times New Roman"/>
          <w:lang w:val="en-GB"/>
        </w:rPr>
        <w:t xml:space="preserve"> </w:t>
      </w:r>
      <w:r w:rsidRPr="006218BC">
        <w:rPr>
          <w:lang w:val="en-GB"/>
        </w:rPr>
        <w:t xml:space="preserve">It </w:t>
      </w:r>
      <w:r w:rsidR="00575FCA" w:rsidRPr="006218BC">
        <w:rPr>
          <w:lang w:val="en-GB"/>
        </w:rPr>
        <w:t>was not</w:t>
      </w:r>
      <w:r w:rsidRPr="006218BC">
        <w:rPr>
          <w:lang w:val="en-GB"/>
        </w:rPr>
        <w:t xml:space="preserve"> until</w:t>
      </w:r>
      <w:r w:rsidR="004202DE" w:rsidRPr="006218BC">
        <w:rPr>
          <w:lang w:val="en-GB"/>
        </w:rPr>
        <w:t xml:space="preserve"> </w:t>
      </w:r>
      <w:proofErr w:type="spellStart"/>
      <w:r w:rsidR="004202DE" w:rsidRPr="006218BC">
        <w:rPr>
          <w:i/>
          <w:lang w:val="en-GB"/>
        </w:rPr>
        <w:t>Nold</w:t>
      </w:r>
      <w:proofErr w:type="spellEnd"/>
      <w:r w:rsidR="00575FCA" w:rsidRPr="006218BC">
        <w:rPr>
          <w:rStyle w:val="Funotenzeichen"/>
          <w:i/>
          <w:lang w:val="en-GB"/>
        </w:rPr>
        <w:footnoteReference w:id="38"/>
      </w:r>
      <w:r w:rsidR="00695D20">
        <w:rPr>
          <w:lang w:val="en-GB"/>
        </w:rPr>
        <w:t xml:space="preserve"> in 1974 </w:t>
      </w:r>
      <w:r w:rsidR="00575FCA" w:rsidRPr="006218BC">
        <w:rPr>
          <w:lang w:val="en-GB"/>
        </w:rPr>
        <w:t>that</w:t>
      </w:r>
      <w:r w:rsidR="004202DE" w:rsidRPr="006218BC">
        <w:rPr>
          <w:lang w:val="en-GB"/>
        </w:rPr>
        <w:t xml:space="preserve"> it</w:t>
      </w:r>
      <w:r w:rsidR="00575FCA" w:rsidRPr="006218BC">
        <w:rPr>
          <w:lang w:val="en-GB"/>
        </w:rPr>
        <w:t xml:space="preserve"> finally</w:t>
      </w:r>
      <w:r w:rsidR="004202DE" w:rsidRPr="006218BC">
        <w:rPr>
          <w:lang w:val="en-GB"/>
        </w:rPr>
        <w:t xml:space="preserve"> identified certain fundamental rights as common co</w:t>
      </w:r>
      <w:r w:rsidR="00695D20">
        <w:rPr>
          <w:lang w:val="en-GB"/>
        </w:rPr>
        <w:t>nstitutional traditions of the member s</w:t>
      </w:r>
      <w:r w:rsidR="004202DE" w:rsidRPr="006218BC">
        <w:rPr>
          <w:lang w:val="en-GB"/>
        </w:rPr>
        <w:t>tates as general principles and therefore as sources of EU law.</w:t>
      </w:r>
      <w:r w:rsidR="00576874">
        <w:rPr>
          <w:lang w:val="en-GB"/>
        </w:rPr>
        <w:t xml:space="preserve"> </w:t>
      </w:r>
      <w:r w:rsidR="00D14EE5">
        <w:rPr>
          <w:lang w:val="en-GB"/>
        </w:rPr>
        <w:t>It did so to “convince the national courts […] to embrace unconditional supremacy”</w:t>
      </w:r>
      <w:r w:rsidR="00D14EE5">
        <w:rPr>
          <w:rStyle w:val="Funotenzeichen"/>
          <w:lang w:val="en-GB"/>
        </w:rPr>
        <w:footnoteReference w:id="39"/>
      </w:r>
      <w:r w:rsidR="00D14EE5">
        <w:rPr>
          <w:lang w:val="en-GB"/>
        </w:rPr>
        <w:t xml:space="preserve"> of EU law. </w:t>
      </w:r>
    </w:p>
    <w:p w14:paraId="48A92CD1" w14:textId="77777777" w:rsidR="00575FCA" w:rsidRPr="006218BC" w:rsidRDefault="00575FCA" w:rsidP="00CD3D33">
      <w:pPr>
        <w:spacing w:line="360" w:lineRule="auto"/>
        <w:jc w:val="both"/>
        <w:rPr>
          <w:lang w:val="en-GB"/>
        </w:rPr>
      </w:pPr>
    </w:p>
    <w:p w14:paraId="1D293900" w14:textId="45796831" w:rsidR="00575FCA" w:rsidRPr="006218BC" w:rsidRDefault="005A2212" w:rsidP="00CD3D33">
      <w:pPr>
        <w:spacing w:line="360" w:lineRule="auto"/>
        <w:jc w:val="both"/>
        <w:rPr>
          <w:lang w:val="en-GB"/>
        </w:rPr>
      </w:pPr>
      <w:r>
        <w:rPr>
          <w:lang w:val="en-GB"/>
        </w:rPr>
        <w:t>In</w:t>
      </w:r>
      <w:r w:rsidR="00A115F1" w:rsidRPr="006218BC">
        <w:rPr>
          <w:lang w:val="en-GB"/>
        </w:rPr>
        <w:t xml:space="preserve"> </w:t>
      </w:r>
      <w:proofErr w:type="spellStart"/>
      <w:r w:rsidR="007B2FFF" w:rsidRPr="005A2212">
        <w:rPr>
          <w:i/>
          <w:lang w:val="en-GB"/>
        </w:rPr>
        <w:t>Nold</w:t>
      </w:r>
      <w:proofErr w:type="spellEnd"/>
      <w:r w:rsidR="007B2FFF" w:rsidRPr="006218BC">
        <w:rPr>
          <w:lang w:val="en-GB"/>
        </w:rPr>
        <w:t>, a mini</w:t>
      </w:r>
      <w:r>
        <w:rPr>
          <w:lang w:val="en-GB"/>
        </w:rPr>
        <w:t>ng company in Germany</w:t>
      </w:r>
      <w:r w:rsidR="007B2FFF" w:rsidRPr="006218BC">
        <w:rPr>
          <w:lang w:val="en-GB"/>
        </w:rPr>
        <w:t xml:space="preserve"> </w:t>
      </w:r>
      <w:r w:rsidR="00A115F1" w:rsidRPr="006218BC">
        <w:rPr>
          <w:lang w:val="en-GB"/>
        </w:rPr>
        <w:t xml:space="preserve">did not meet </w:t>
      </w:r>
      <w:r>
        <w:rPr>
          <w:lang w:val="en-GB"/>
        </w:rPr>
        <w:t>recently</w:t>
      </w:r>
      <w:r w:rsidR="00A115F1" w:rsidRPr="006218BC">
        <w:rPr>
          <w:lang w:val="en-GB"/>
        </w:rPr>
        <w:t xml:space="preserve"> enhanced requirements</w:t>
      </w:r>
      <w:r>
        <w:rPr>
          <w:lang w:val="en-GB"/>
        </w:rPr>
        <w:t>, which were introduced by EU legislation. Consequently the company was not</w:t>
      </w:r>
      <w:r w:rsidR="00A115F1" w:rsidRPr="006218BC">
        <w:rPr>
          <w:lang w:val="en-GB"/>
        </w:rPr>
        <w:t xml:space="preserve"> allowed to buy its resources directly from the national coal-producer</w:t>
      </w:r>
      <w:r>
        <w:rPr>
          <w:lang w:val="en-GB"/>
        </w:rPr>
        <w:t xml:space="preserve"> anymore</w:t>
      </w:r>
      <w:r w:rsidR="00A115F1" w:rsidRPr="006218BC">
        <w:rPr>
          <w:lang w:val="en-GB"/>
        </w:rPr>
        <w:t xml:space="preserve">. </w:t>
      </w:r>
      <w:proofErr w:type="spellStart"/>
      <w:r w:rsidR="00A115F1" w:rsidRPr="006218BC">
        <w:rPr>
          <w:lang w:val="en-GB"/>
        </w:rPr>
        <w:t>Nold</w:t>
      </w:r>
      <w:proofErr w:type="spellEnd"/>
      <w:r w:rsidR="00A115F1" w:rsidRPr="006218BC">
        <w:rPr>
          <w:lang w:val="en-GB"/>
        </w:rPr>
        <w:t xml:space="preserve"> claimed </w:t>
      </w:r>
      <w:r>
        <w:rPr>
          <w:lang w:val="en-GB"/>
        </w:rPr>
        <w:t>this requirement was a</w:t>
      </w:r>
      <w:r w:rsidR="00A115F1" w:rsidRPr="006218BC">
        <w:rPr>
          <w:lang w:val="en-GB"/>
        </w:rPr>
        <w:t xml:space="preserve"> breach of its rights of freedom of property and </w:t>
      </w:r>
      <w:r w:rsidR="0023067C" w:rsidRPr="006218BC">
        <w:rPr>
          <w:lang w:val="en-GB"/>
        </w:rPr>
        <w:t xml:space="preserve">profession and </w:t>
      </w:r>
      <w:r>
        <w:rPr>
          <w:lang w:val="en-GB"/>
        </w:rPr>
        <w:t>argued that the regulation be struck.</w:t>
      </w:r>
    </w:p>
    <w:p w14:paraId="0ECF8583" w14:textId="77777777" w:rsidR="00A115F1" w:rsidRPr="006218BC" w:rsidRDefault="00A115F1" w:rsidP="00CD3D33">
      <w:pPr>
        <w:spacing w:line="360" w:lineRule="auto"/>
        <w:jc w:val="both"/>
        <w:rPr>
          <w:lang w:val="en-GB"/>
        </w:rPr>
      </w:pPr>
    </w:p>
    <w:p w14:paraId="717B0315" w14:textId="38D2E39E" w:rsidR="00F9521C" w:rsidRPr="006218BC" w:rsidRDefault="0023067C" w:rsidP="00CD3D33">
      <w:pPr>
        <w:spacing w:line="360" w:lineRule="auto"/>
        <w:jc w:val="both"/>
        <w:rPr>
          <w:lang w:val="en-GB"/>
        </w:rPr>
      </w:pPr>
      <w:r w:rsidRPr="006218BC">
        <w:rPr>
          <w:lang w:val="en-GB"/>
        </w:rPr>
        <w:t xml:space="preserve">The </w:t>
      </w:r>
      <w:r w:rsidR="00495502">
        <w:rPr>
          <w:lang w:val="en-GB"/>
        </w:rPr>
        <w:t>Court</w:t>
      </w:r>
      <w:r w:rsidRPr="006218BC">
        <w:rPr>
          <w:lang w:val="en-GB"/>
        </w:rPr>
        <w:t xml:space="preserve"> </w:t>
      </w:r>
      <w:r w:rsidR="00495502">
        <w:rPr>
          <w:lang w:val="en-GB"/>
        </w:rPr>
        <w:t>reiterated</w:t>
      </w:r>
      <w:r w:rsidRPr="006218BC">
        <w:rPr>
          <w:lang w:val="en-GB"/>
        </w:rPr>
        <w:t xml:space="preserve"> its </w:t>
      </w:r>
      <w:r w:rsidR="00495502">
        <w:rPr>
          <w:lang w:val="en-GB"/>
        </w:rPr>
        <w:t>position</w:t>
      </w:r>
      <w:r w:rsidRPr="006218BC">
        <w:rPr>
          <w:lang w:val="en-GB"/>
        </w:rPr>
        <w:t xml:space="preserve"> </w:t>
      </w:r>
      <w:r w:rsidR="00495502">
        <w:rPr>
          <w:lang w:val="en-GB"/>
        </w:rPr>
        <w:t>that</w:t>
      </w:r>
      <w:r w:rsidRPr="006218BC">
        <w:rPr>
          <w:lang w:val="en-GB"/>
        </w:rPr>
        <w:t xml:space="preserve"> fundamental rights </w:t>
      </w:r>
      <w:r w:rsidR="008E48F6">
        <w:rPr>
          <w:lang w:val="en-GB"/>
        </w:rPr>
        <w:t>are</w:t>
      </w:r>
      <w:r w:rsidRPr="006218BC">
        <w:rPr>
          <w:lang w:val="en-GB"/>
        </w:rPr>
        <w:t xml:space="preserve"> “an integral part” of EU law. Additionally the Court stated that it “is bound to draw inspiration from constitutional traditions common to the Member States” as well as from  “international treaties for the protection of human rights”</w:t>
      </w:r>
      <w:r w:rsidR="00495502">
        <w:rPr>
          <w:lang w:val="en-GB"/>
        </w:rPr>
        <w:t xml:space="preserve">, </w:t>
      </w:r>
      <w:r w:rsidRPr="006218BC">
        <w:rPr>
          <w:lang w:val="en-GB"/>
        </w:rPr>
        <w:t xml:space="preserve"> </w:t>
      </w:r>
      <w:r w:rsidR="00495502">
        <w:rPr>
          <w:lang w:val="en-GB"/>
        </w:rPr>
        <w:t>which can</w:t>
      </w:r>
      <w:r w:rsidRPr="006218BC">
        <w:rPr>
          <w:lang w:val="en-GB"/>
        </w:rPr>
        <w:t xml:space="preserve"> “supply guidelines”</w:t>
      </w:r>
      <w:r w:rsidR="00495502">
        <w:rPr>
          <w:rStyle w:val="Funotenzeichen"/>
          <w:lang w:val="en-GB"/>
        </w:rPr>
        <w:footnoteReference w:id="40"/>
      </w:r>
      <w:r w:rsidRPr="006218BC">
        <w:rPr>
          <w:lang w:val="en-GB"/>
        </w:rPr>
        <w:t xml:space="preserve"> to EU law.</w:t>
      </w:r>
      <w:r w:rsidR="00F9521C" w:rsidRPr="006218BC">
        <w:rPr>
          <w:lang w:val="en-GB"/>
        </w:rPr>
        <w:t xml:space="preserve"> </w:t>
      </w:r>
      <w:r w:rsidRPr="006218BC">
        <w:rPr>
          <w:lang w:val="en-GB"/>
        </w:rPr>
        <w:t xml:space="preserve"> Moreover the Court called the rights of freedom of property and profession as examples of such common traditions</w:t>
      </w:r>
      <w:r w:rsidR="00495502">
        <w:rPr>
          <w:lang w:val="en-GB"/>
        </w:rPr>
        <w:t>, as all the member s</w:t>
      </w:r>
      <w:r w:rsidRPr="006218BC">
        <w:rPr>
          <w:lang w:val="en-GB"/>
        </w:rPr>
        <w:t>tates</w:t>
      </w:r>
      <w:r w:rsidR="00495502">
        <w:rPr>
          <w:lang w:val="en-GB"/>
        </w:rPr>
        <w:t>’</w:t>
      </w:r>
      <w:r w:rsidRPr="006218BC">
        <w:rPr>
          <w:lang w:val="en-GB"/>
        </w:rPr>
        <w:t xml:space="preserve"> constitutions feature respective provisions. </w:t>
      </w:r>
      <w:r w:rsidR="002343EE" w:rsidRPr="006218BC">
        <w:rPr>
          <w:lang w:val="en-GB"/>
        </w:rPr>
        <w:t xml:space="preserve">All those provisions, however, are also subject to limitations </w:t>
      </w:r>
      <w:r w:rsidR="00495502">
        <w:rPr>
          <w:lang w:val="en-GB"/>
        </w:rPr>
        <w:t>in regard to the</w:t>
      </w:r>
      <w:r w:rsidR="002343EE" w:rsidRPr="006218BC">
        <w:rPr>
          <w:lang w:val="en-GB"/>
        </w:rPr>
        <w:t xml:space="preserve"> public interest.</w:t>
      </w:r>
      <w:r w:rsidR="00495502">
        <w:rPr>
          <w:lang w:val="en-GB"/>
        </w:rPr>
        <w:t xml:space="preserve"> Therefore it was not only the extent of protection, but also the conditions of a justified interference that are part of these common traditions.</w:t>
      </w:r>
      <w:r w:rsidR="002343EE" w:rsidRPr="006218BC">
        <w:rPr>
          <w:lang w:val="en-GB"/>
        </w:rPr>
        <w:t xml:space="preserve"> That way the Court did not nullify the regulation, because </w:t>
      </w:r>
      <w:r w:rsidR="00250894" w:rsidRPr="006218BC">
        <w:rPr>
          <w:lang w:val="en-GB"/>
        </w:rPr>
        <w:t>the regulation was necessary because of economic changes and therefore its interference with fundamental rights justified.</w:t>
      </w:r>
    </w:p>
    <w:p w14:paraId="6A5C36D2" w14:textId="77777777" w:rsidR="00F9521C" w:rsidRPr="006218BC" w:rsidRDefault="00F9521C" w:rsidP="00CD3D33">
      <w:pPr>
        <w:spacing w:line="360" w:lineRule="auto"/>
        <w:jc w:val="both"/>
        <w:rPr>
          <w:lang w:val="en-GB"/>
        </w:rPr>
      </w:pPr>
    </w:p>
    <w:p w14:paraId="6EB00B66" w14:textId="74025329" w:rsidR="00F9521C" w:rsidRPr="006218BC" w:rsidRDefault="00F9521C" w:rsidP="00CD3D33">
      <w:pPr>
        <w:spacing w:line="360" w:lineRule="auto"/>
        <w:jc w:val="both"/>
        <w:rPr>
          <w:rFonts w:ascii="Helvetica" w:eastAsia="Times New Roman" w:hAnsi="Helvetica" w:cs="Times New Roman"/>
          <w:sz w:val="35"/>
          <w:szCs w:val="35"/>
          <w:lang w:val="en-GB"/>
        </w:rPr>
      </w:pPr>
      <w:r w:rsidRPr="006218BC">
        <w:rPr>
          <w:lang w:val="en-GB"/>
        </w:rPr>
        <w:t xml:space="preserve">In </w:t>
      </w:r>
      <w:proofErr w:type="spellStart"/>
      <w:r w:rsidRPr="006218BC">
        <w:rPr>
          <w:i/>
          <w:lang w:val="en-GB"/>
        </w:rPr>
        <w:t>Rutili</w:t>
      </w:r>
      <w:proofErr w:type="spellEnd"/>
      <w:r w:rsidRPr="006218BC">
        <w:rPr>
          <w:rStyle w:val="Funotenzeichen"/>
          <w:lang w:val="en-GB"/>
        </w:rPr>
        <w:footnoteReference w:id="41"/>
      </w:r>
      <w:r w:rsidRPr="006218BC">
        <w:rPr>
          <w:lang w:val="en-GB"/>
        </w:rPr>
        <w:t>, the Court fin</w:t>
      </w:r>
      <w:r w:rsidR="00B91358" w:rsidRPr="006218BC">
        <w:rPr>
          <w:lang w:val="en-GB"/>
        </w:rPr>
        <w:t>ally referred explicitly to the European Convention on Human Rights (ECHR)</w:t>
      </w:r>
      <w:r w:rsidR="008E48F6">
        <w:rPr>
          <w:rFonts w:ascii="Helvetica" w:eastAsia="Times New Roman" w:hAnsi="Helvetica" w:cs="Times New Roman"/>
          <w:sz w:val="35"/>
          <w:szCs w:val="35"/>
          <w:lang w:val="en-GB"/>
        </w:rPr>
        <w:t xml:space="preserve"> </w:t>
      </w:r>
      <w:r w:rsidRPr="006218BC">
        <w:rPr>
          <w:lang w:val="en-GB"/>
        </w:rPr>
        <w:t>for the first time and enshrined its status</w:t>
      </w:r>
      <w:r w:rsidR="00495502">
        <w:rPr>
          <w:lang w:val="en-GB"/>
        </w:rPr>
        <w:t xml:space="preserve"> as being superior</w:t>
      </w:r>
      <w:r w:rsidRPr="006218BC">
        <w:rPr>
          <w:lang w:val="en-GB"/>
        </w:rPr>
        <w:t xml:space="preserve"> to other international treaties concerning human rights.</w:t>
      </w:r>
    </w:p>
    <w:p w14:paraId="19F17A81" w14:textId="77777777" w:rsidR="008F3517" w:rsidRPr="006218BC" w:rsidRDefault="008F3517" w:rsidP="00CD3D33">
      <w:pPr>
        <w:spacing w:line="360" w:lineRule="auto"/>
        <w:jc w:val="both"/>
        <w:rPr>
          <w:lang w:val="en-GB"/>
        </w:rPr>
      </w:pPr>
    </w:p>
    <w:p w14:paraId="633A105D" w14:textId="0092045F" w:rsidR="008D0005" w:rsidRPr="006218BC" w:rsidRDefault="00495502" w:rsidP="00CD3D33">
      <w:pPr>
        <w:spacing w:line="360" w:lineRule="auto"/>
        <w:jc w:val="both"/>
        <w:rPr>
          <w:lang w:val="en-GB"/>
        </w:rPr>
      </w:pPr>
      <w:r>
        <w:rPr>
          <w:lang w:val="en-GB"/>
        </w:rPr>
        <w:t>With those two judgments</w:t>
      </w:r>
      <w:r w:rsidR="00C62064" w:rsidRPr="006218BC">
        <w:rPr>
          <w:lang w:val="en-GB"/>
        </w:rPr>
        <w:t xml:space="preserve"> t</w:t>
      </w:r>
      <w:r w:rsidR="008F3517" w:rsidRPr="006218BC">
        <w:rPr>
          <w:lang w:val="en-GB"/>
        </w:rPr>
        <w:t>he CJEU</w:t>
      </w:r>
      <w:r w:rsidR="00C62064" w:rsidRPr="006218BC">
        <w:rPr>
          <w:lang w:val="en-GB"/>
        </w:rPr>
        <w:t xml:space="preserve"> established a rather complex and ambiguous fundamental rights regime.</w:t>
      </w:r>
      <w:r>
        <w:rPr>
          <w:lang w:val="en-GB"/>
        </w:rPr>
        <w:t xml:space="preserve"> On</w:t>
      </w:r>
      <w:r w:rsidR="00C62064" w:rsidRPr="006218BC">
        <w:rPr>
          <w:lang w:val="en-GB"/>
        </w:rPr>
        <w:t xml:space="preserve"> one hand it </w:t>
      </w:r>
      <w:r w:rsidR="008F3517" w:rsidRPr="006218BC">
        <w:rPr>
          <w:lang w:val="en-GB"/>
        </w:rPr>
        <w:t>introduced the common constitutional traditions of the Member States as general principles and therefore legal sources of EU law.</w:t>
      </w:r>
      <w:r w:rsidR="00C62064" w:rsidRPr="006218BC">
        <w:rPr>
          <w:lang w:val="en-GB"/>
        </w:rPr>
        <w:t xml:space="preserve"> Primary sources were both the common national constitutional traditions and shared international human rights agreement</w:t>
      </w:r>
      <w:r w:rsidR="00AD5517" w:rsidRPr="006218BC">
        <w:rPr>
          <w:lang w:val="en-GB"/>
        </w:rPr>
        <w:t xml:space="preserve">s, </w:t>
      </w:r>
      <w:r w:rsidR="00B91358" w:rsidRPr="006218BC">
        <w:rPr>
          <w:lang w:val="en-GB"/>
        </w:rPr>
        <w:t>with particular significance to the</w:t>
      </w:r>
      <w:r w:rsidR="00AD5517" w:rsidRPr="006218BC">
        <w:rPr>
          <w:lang w:val="en-GB"/>
        </w:rPr>
        <w:t xml:space="preserve"> ECHR.</w:t>
      </w:r>
      <w:r w:rsidR="00C62064" w:rsidRPr="006218BC">
        <w:rPr>
          <w:rStyle w:val="Funotenzeichen"/>
          <w:lang w:val="en-GB"/>
        </w:rPr>
        <w:footnoteReference w:id="42"/>
      </w:r>
      <w:r w:rsidR="00C62064" w:rsidRPr="006218BC">
        <w:rPr>
          <w:lang w:val="en-GB"/>
        </w:rPr>
        <w:t xml:space="preserve"> On the other hand f</w:t>
      </w:r>
      <w:r w:rsidR="008F3517" w:rsidRPr="006218BC">
        <w:rPr>
          <w:lang w:val="en-GB"/>
        </w:rPr>
        <w:t>undamental rights were subject to the autonomy of EU law and yet “not entirely independent of the legal cultures and traditions of the Member States.”</w:t>
      </w:r>
      <w:r w:rsidR="008F3517" w:rsidRPr="006218BC">
        <w:rPr>
          <w:rStyle w:val="Funotenzeichen"/>
          <w:lang w:val="en-GB"/>
        </w:rPr>
        <w:footnoteReference w:id="43"/>
      </w:r>
      <w:r w:rsidR="00C62064" w:rsidRPr="006218BC">
        <w:rPr>
          <w:lang w:val="en-GB"/>
        </w:rPr>
        <w:t xml:space="preserve"> Thus, the CJEU frequently stressed that both sources were only viewed as sources of “inspiration” and that there is no legally binding effect on its jurisdiction.</w:t>
      </w:r>
      <w:r>
        <w:rPr>
          <w:lang w:val="en-GB"/>
        </w:rPr>
        <w:t xml:space="preserve"> Thus, the fun</w:t>
      </w:r>
      <w:r w:rsidR="008D0005">
        <w:rPr>
          <w:lang w:val="en-GB"/>
        </w:rPr>
        <w:t xml:space="preserve">damental rights doctrine offers a great amount of argumentative discretion for the Court, </w:t>
      </w:r>
      <w:r w:rsidR="008E48F6">
        <w:rPr>
          <w:lang w:val="en-GB"/>
        </w:rPr>
        <w:t>making</w:t>
      </w:r>
      <w:r w:rsidR="008D0005">
        <w:rPr>
          <w:lang w:val="en-GB"/>
        </w:rPr>
        <w:t xml:space="preserve"> it a great tool for future judicial activism.</w:t>
      </w:r>
    </w:p>
    <w:p w14:paraId="783E401B" w14:textId="69030F39" w:rsidR="009B440D" w:rsidRPr="006218BC" w:rsidRDefault="009B440D" w:rsidP="00CD3D33">
      <w:pPr>
        <w:pStyle w:val="berschrift2"/>
        <w:jc w:val="both"/>
        <w:rPr>
          <w:lang w:val="en-GB"/>
        </w:rPr>
      </w:pPr>
      <w:bookmarkStart w:id="5" w:name="_Toc311385411"/>
      <w:r w:rsidRPr="006218BC">
        <w:rPr>
          <w:lang w:val="en-GB"/>
        </w:rPr>
        <w:t>The European Union Charter of Fundamental Rights</w:t>
      </w:r>
      <w:bookmarkEnd w:id="5"/>
    </w:p>
    <w:p w14:paraId="072E445F" w14:textId="77777777" w:rsidR="009B440D" w:rsidRPr="006218BC" w:rsidRDefault="009B440D" w:rsidP="00CD3D33">
      <w:pPr>
        <w:spacing w:line="360" w:lineRule="auto"/>
        <w:jc w:val="both"/>
        <w:rPr>
          <w:lang w:val="en-GB"/>
        </w:rPr>
      </w:pPr>
    </w:p>
    <w:p w14:paraId="25EA32BA" w14:textId="4890BCC4" w:rsidR="001D20BD" w:rsidRPr="006218BC" w:rsidRDefault="00982D29" w:rsidP="00CD3D33">
      <w:pPr>
        <w:spacing w:line="360" w:lineRule="auto"/>
        <w:jc w:val="both"/>
        <w:rPr>
          <w:lang w:val="en-GB"/>
        </w:rPr>
      </w:pPr>
      <w:r w:rsidRPr="006218BC">
        <w:rPr>
          <w:lang w:val="en-GB"/>
        </w:rPr>
        <w:t xml:space="preserve">Most of the principles established by the Court in its fundamental rights doctrine </w:t>
      </w:r>
      <w:r w:rsidR="001D20BD" w:rsidRPr="006218BC">
        <w:rPr>
          <w:lang w:val="en-GB"/>
        </w:rPr>
        <w:t>have</w:t>
      </w:r>
      <w:r w:rsidR="003071B9">
        <w:rPr>
          <w:lang w:val="en-GB"/>
        </w:rPr>
        <w:t xml:space="preserve"> since</w:t>
      </w:r>
      <w:r w:rsidRPr="006218BC">
        <w:rPr>
          <w:lang w:val="en-GB"/>
        </w:rPr>
        <w:t xml:space="preserve"> been introduced </w:t>
      </w:r>
      <w:r w:rsidR="003071B9">
        <w:rPr>
          <w:lang w:val="en-GB"/>
        </w:rPr>
        <w:t>in</w:t>
      </w:r>
      <w:r w:rsidRPr="006218BC">
        <w:rPr>
          <w:lang w:val="en-GB"/>
        </w:rPr>
        <w:t xml:space="preserve">to EU law </w:t>
      </w:r>
      <w:r w:rsidR="008E48F6">
        <w:rPr>
          <w:lang w:val="en-GB"/>
        </w:rPr>
        <w:t>through</w:t>
      </w:r>
      <w:r w:rsidR="003071B9">
        <w:rPr>
          <w:lang w:val="en-GB"/>
        </w:rPr>
        <w:t xml:space="preserve"> legislation</w:t>
      </w:r>
      <w:r w:rsidRPr="006218BC">
        <w:rPr>
          <w:lang w:val="en-GB"/>
        </w:rPr>
        <w:t>, most prominently in</w:t>
      </w:r>
      <w:r w:rsidR="003071B9">
        <w:rPr>
          <w:lang w:val="en-GB"/>
        </w:rPr>
        <w:t xml:space="preserve"> the</w:t>
      </w:r>
      <w:r w:rsidRPr="006218BC">
        <w:rPr>
          <w:lang w:val="en-GB"/>
        </w:rPr>
        <w:t xml:space="preserve"> form of the European Union Charter of Fundamental Rights</w:t>
      </w:r>
      <w:r w:rsidR="00B21B1F" w:rsidRPr="006218BC">
        <w:rPr>
          <w:lang w:val="en-GB"/>
        </w:rPr>
        <w:t xml:space="preserve"> (EUCFR)</w:t>
      </w:r>
      <w:r w:rsidRPr="006218BC">
        <w:rPr>
          <w:lang w:val="en-GB"/>
        </w:rPr>
        <w:t>.</w:t>
      </w:r>
      <w:r w:rsidR="008E48F6">
        <w:rPr>
          <w:lang w:val="en-GB"/>
        </w:rPr>
        <w:t xml:space="preserve"> </w:t>
      </w:r>
      <w:r w:rsidR="003071B9">
        <w:rPr>
          <w:lang w:val="en-GB"/>
        </w:rPr>
        <w:t>At first this was merely an</w:t>
      </w:r>
      <w:r w:rsidRPr="006218BC">
        <w:rPr>
          <w:lang w:val="en-GB"/>
        </w:rPr>
        <w:t xml:space="preserve"> “authoritative statement of the rights considered to be fundamental”</w:t>
      </w:r>
      <w:r w:rsidR="00B21B1F" w:rsidRPr="006218BC">
        <w:rPr>
          <w:rStyle w:val="Funotenzeichen"/>
          <w:lang w:val="en-GB"/>
        </w:rPr>
        <w:footnoteReference w:id="44"/>
      </w:r>
      <w:r w:rsidRPr="006218BC">
        <w:rPr>
          <w:lang w:val="en-GB"/>
        </w:rPr>
        <w:t>,</w:t>
      </w:r>
      <w:r w:rsidR="003071B9">
        <w:rPr>
          <w:lang w:val="en-GB"/>
        </w:rPr>
        <w:t xml:space="preserve"> but today the Charter</w:t>
      </w:r>
      <w:r w:rsidRPr="006218BC">
        <w:rPr>
          <w:lang w:val="en-GB"/>
        </w:rPr>
        <w:t xml:space="preserve"> is finally legally binding under the Lisbon Treaty. The rights of the EUCFR</w:t>
      </w:r>
      <w:r w:rsidR="00B21B1F" w:rsidRPr="006218BC">
        <w:rPr>
          <w:lang w:val="en-GB"/>
        </w:rPr>
        <w:t xml:space="preserve"> are largely taken from the human rights sources recogni</w:t>
      </w:r>
      <w:r w:rsidR="003071B9">
        <w:rPr>
          <w:lang w:val="en-GB"/>
        </w:rPr>
        <w:t>zed in the case law of the CJEU, namely</w:t>
      </w:r>
      <w:r w:rsidR="00B21B1F" w:rsidRPr="006218BC">
        <w:rPr>
          <w:lang w:val="en-GB"/>
        </w:rPr>
        <w:t xml:space="preserve"> common constitutional traditions of the Member States and the international human rights treaties concluded by the Member States.</w:t>
      </w:r>
      <w:r w:rsidR="00B21B1F" w:rsidRPr="006218BC">
        <w:rPr>
          <w:rStyle w:val="Funotenzeichen"/>
          <w:lang w:val="en-GB"/>
        </w:rPr>
        <w:footnoteReference w:id="45"/>
      </w:r>
    </w:p>
    <w:p w14:paraId="45CE8458" w14:textId="504BF156" w:rsidR="00B530B1" w:rsidRPr="006218BC" w:rsidRDefault="00B530B1" w:rsidP="00CD3D33">
      <w:pPr>
        <w:pStyle w:val="berschrift1"/>
        <w:jc w:val="both"/>
        <w:rPr>
          <w:lang w:val="en-GB"/>
        </w:rPr>
      </w:pPr>
      <w:bookmarkStart w:id="6" w:name="_Toc311385412"/>
      <w:r w:rsidRPr="006218BC">
        <w:rPr>
          <w:lang w:val="en-GB"/>
        </w:rPr>
        <w:t>Reasons</w:t>
      </w:r>
      <w:r w:rsidR="00CD3D33" w:rsidRPr="006218BC">
        <w:rPr>
          <w:lang w:val="en-GB"/>
        </w:rPr>
        <w:t xml:space="preserve"> for the fundamental rights doctrine</w:t>
      </w:r>
      <w:bookmarkEnd w:id="6"/>
    </w:p>
    <w:p w14:paraId="1EB7FCB0" w14:textId="77777777" w:rsidR="00B530B1" w:rsidRPr="006218BC" w:rsidRDefault="00B530B1" w:rsidP="00CD3D33">
      <w:pPr>
        <w:spacing w:line="360" w:lineRule="auto"/>
        <w:jc w:val="both"/>
        <w:rPr>
          <w:b/>
          <w:sz w:val="28"/>
          <w:szCs w:val="28"/>
          <w:lang w:val="en-GB"/>
        </w:rPr>
      </w:pPr>
    </w:p>
    <w:p w14:paraId="08C16572" w14:textId="4BC6D19C" w:rsidR="00C80A66" w:rsidRPr="006218BC" w:rsidRDefault="00C80A66" w:rsidP="00CD3D33">
      <w:pPr>
        <w:spacing w:line="360" w:lineRule="auto"/>
        <w:jc w:val="both"/>
        <w:rPr>
          <w:lang w:val="en-GB"/>
        </w:rPr>
      </w:pPr>
      <w:r w:rsidRPr="006218BC">
        <w:rPr>
          <w:lang w:val="en-GB"/>
        </w:rPr>
        <w:t>In developing its fundamental rights doctrine, the CJEU has acted “as a constitutional court, in fact though not in name.“</w:t>
      </w:r>
      <w:r w:rsidR="00C05E11" w:rsidRPr="006218BC">
        <w:rPr>
          <w:rStyle w:val="Funotenzeichen"/>
          <w:lang w:val="en-GB"/>
        </w:rPr>
        <w:footnoteReference w:id="46"/>
      </w:r>
      <w:r w:rsidR="00C05E11" w:rsidRPr="006218BC">
        <w:rPr>
          <w:lang w:val="en-GB"/>
        </w:rPr>
        <w:t xml:space="preserve"> </w:t>
      </w:r>
      <w:r w:rsidR="00361490">
        <w:rPr>
          <w:lang w:val="en-GB"/>
        </w:rPr>
        <w:t>In this</w:t>
      </w:r>
      <w:r w:rsidRPr="006218BC">
        <w:rPr>
          <w:lang w:val="en-GB"/>
        </w:rPr>
        <w:t xml:space="preserve"> way the Court “has originated some of the key features of the constitutional structure of the EU, including … a human rights jurisprudence”</w:t>
      </w:r>
      <w:r w:rsidR="00C05E11" w:rsidRPr="006218BC">
        <w:rPr>
          <w:rStyle w:val="Funotenzeichen"/>
          <w:lang w:val="en-GB"/>
        </w:rPr>
        <w:footnoteReference w:id="47"/>
      </w:r>
      <w:r w:rsidRPr="006218BC">
        <w:rPr>
          <w:lang w:val="en-GB"/>
        </w:rPr>
        <w:t>.</w:t>
      </w:r>
      <w:r w:rsidR="001D1B74" w:rsidRPr="006218BC">
        <w:rPr>
          <w:lang w:val="en-GB"/>
        </w:rPr>
        <w:t xml:space="preserve"> </w:t>
      </w:r>
      <w:r w:rsidR="00361490">
        <w:rPr>
          <w:lang w:val="en-GB"/>
        </w:rPr>
        <w:t xml:space="preserve">In essence, the Court </w:t>
      </w:r>
      <w:r w:rsidR="001D1B74" w:rsidRPr="006218BC">
        <w:rPr>
          <w:lang w:val="en-GB"/>
        </w:rPr>
        <w:t>shaped “constitutional law without politics”.</w:t>
      </w:r>
      <w:r w:rsidR="001D1B74" w:rsidRPr="006218BC">
        <w:rPr>
          <w:rStyle w:val="Funotenzeichen"/>
          <w:lang w:val="en-GB"/>
        </w:rPr>
        <w:footnoteReference w:id="48"/>
      </w:r>
    </w:p>
    <w:p w14:paraId="7E5D7C82" w14:textId="77777777" w:rsidR="00C80A66" w:rsidRPr="006218BC" w:rsidRDefault="00C80A66" w:rsidP="00CD3D33">
      <w:pPr>
        <w:spacing w:line="360" w:lineRule="auto"/>
        <w:jc w:val="both"/>
        <w:rPr>
          <w:lang w:val="en-GB"/>
        </w:rPr>
      </w:pPr>
    </w:p>
    <w:p w14:paraId="637E8CF9" w14:textId="73CCCF1F" w:rsidR="00C80A66" w:rsidRPr="006218BC" w:rsidRDefault="00C80A66" w:rsidP="00CD3D33">
      <w:pPr>
        <w:spacing w:line="360" w:lineRule="auto"/>
        <w:jc w:val="both"/>
        <w:rPr>
          <w:lang w:val="en-GB"/>
        </w:rPr>
      </w:pPr>
      <w:r w:rsidRPr="006218BC">
        <w:rPr>
          <w:lang w:val="en-GB"/>
        </w:rPr>
        <w:t>Its highly active jurisprudence has put the CJEU in a delicate position facing both harsh critics as well as cordial consent all across the Union. Why did the Court man</w:t>
      </w:r>
      <w:r w:rsidR="00361490">
        <w:rPr>
          <w:lang w:val="en-GB"/>
        </w:rPr>
        <w:t>oeuv</w:t>
      </w:r>
      <w:r w:rsidRPr="006218BC">
        <w:rPr>
          <w:lang w:val="en-GB"/>
        </w:rPr>
        <w:t>r</w:t>
      </w:r>
      <w:r w:rsidR="00361490">
        <w:rPr>
          <w:lang w:val="en-GB"/>
        </w:rPr>
        <w:t>e</w:t>
      </w:r>
      <w:r w:rsidRPr="006218BC">
        <w:rPr>
          <w:lang w:val="en-GB"/>
        </w:rPr>
        <w:t xml:space="preserve"> itself in such troubled waters? Why did it expose its own credibility to potential sabotage?</w:t>
      </w:r>
    </w:p>
    <w:p w14:paraId="08F30F24" w14:textId="77777777" w:rsidR="00C80A66" w:rsidRPr="006218BC" w:rsidRDefault="00C80A66" w:rsidP="00CD3D33">
      <w:pPr>
        <w:spacing w:line="360" w:lineRule="auto"/>
        <w:jc w:val="both"/>
        <w:rPr>
          <w:lang w:val="en-GB"/>
        </w:rPr>
      </w:pPr>
    </w:p>
    <w:p w14:paraId="6F989405" w14:textId="501243AE" w:rsidR="00C80A66" w:rsidRPr="006218BC" w:rsidRDefault="00C80A66" w:rsidP="00CD3D33">
      <w:pPr>
        <w:spacing w:line="360" w:lineRule="auto"/>
        <w:jc w:val="both"/>
        <w:rPr>
          <w:lang w:val="en-GB"/>
        </w:rPr>
      </w:pPr>
      <w:r w:rsidRPr="006218BC">
        <w:rPr>
          <w:lang w:val="en-GB"/>
        </w:rPr>
        <w:t>This chapter contains an analysis of various reasons for the Court</w:t>
      </w:r>
      <w:r w:rsidR="00361490">
        <w:rPr>
          <w:lang w:val="en-GB"/>
        </w:rPr>
        <w:t>’</w:t>
      </w:r>
      <w:r w:rsidRPr="006218BC">
        <w:rPr>
          <w:lang w:val="en-GB"/>
        </w:rPr>
        <w:t xml:space="preserve">s active </w:t>
      </w:r>
      <w:r w:rsidR="00361490">
        <w:rPr>
          <w:lang w:val="en-GB"/>
        </w:rPr>
        <w:t>jurisprudence</w:t>
      </w:r>
      <w:r w:rsidRPr="006218BC">
        <w:rPr>
          <w:lang w:val="en-GB"/>
        </w:rPr>
        <w:t xml:space="preserve"> in human rights matters.</w:t>
      </w:r>
    </w:p>
    <w:p w14:paraId="1E2FEC52" w14:textId="77777777" w:rsidR="00B530B1" w:rsidRPr="006218BC" w:rsidRDefault="00B530B1" w:rsidP="00CD3D33">
      <w:pPr>
        <w:spacing w:line="360" w:lineRule="auto"/>
        <w:jc w:val="both"/>
        <w:rPr>
          <w:lang w:val="en-GB"/>
        </w:rPr>
      </w:pPr>
    </w:p>
    <w:p w14:paraId="51F1333C" w14:textId="44EE19B2" w:rsidR="00B530B1" w:rsidRPr="006218BC" w:rsidRDefault="00B530B1" w:rsidP="00CD3D33">
      <w:pPr>
        <w:pStyle w:val="berschrift2"/>
        <w:jc w:val="both"/>
        <w:rPr>
          <w:lang w:val="en-GB"/>
        </w:rPr>
      </w:pPr>
      <w:bookmarkStart w:id="7" w:name="_Toc311385413"/>
      <w:r w:rsidRPr="006218BC">
        <w:rPr>
          <w:lang w:val="en-GB"/>
        </w:rPr>
        <w:t xml:space="preserve">The impact of the </w:t>
      </w:r>
      <w:r w:rsidR="00361490">
        <w:rPr>
          <w:i/>
          <w:lang w:val="en-GB"/>
        </w:rPr>
        <w:t>German Federal Constitutional Court</w:t>
      </w:r>
      <w:r w:rsidRPr="006218BC">
        <w:rPr>
          <w:lang w:val="en-GB"/>
        </w:rPr>
        <w:t xml:space="preserve"> – “</w:t>
      </w:r>
      <w:proofErr w:type="spellStart"/>
      <w:r w:rsidRPr="006218BC">
        <w:rPr>
          <w:lang w:val="en-GB"/>
        </w:rPr>
        <w:t>Solange</w:t>
      </w:r>
      <w:proofErr w:type="spellEnd"/>
      <w:r w:rsidRPr="006218BC">
        <w:rPr>
          <w:lang w:val="en-GB"/>
        </w:rPr>
        <w:t>” I and II</w:t>
      </w:r>
      <w:bookmarkEnd w:id="7"/>
    </w:p>
    <w:p w14:paraId="57E9D705" w14:textId="77777777" w:rsidR="00B530B1" w:rsidRPr="006218BC" w:rsidRDefault="00B530B1" w:rsidP="00CD3D33">
      <w:pPr>
        <w:spacing w:line="360" w:lineRule="auto"/>
        <w:jc w:val="both"/>
        <w:rPr>
          <w:lang w:val="en-GB"/>
        </w:rPr>
      </w:pPr>
    </w:p>
    <w:p w14:paraId="40EAC5F7" w14:textId="6FC84324" w:rsidR="00B530B1" w:rsidRPr="006218BC" w:rsidRDefault="00361490" w:rsidP="00CD3D33">
      <w:pPr>
        <w:spacing w:line="360" w:lineRule="auto"/>
        <w:jc w:val="both"/>
        <w:rPr>
          <w:lang w:val="en-GB"/>
        </w:rPr>
      </w:pPr>
      <w:r>
        <w:rPr>
          <w:lang w:val="en-GB"/>
        </w:rPr>
        <w:t>It was the discourse with one national c</w:t>
      </w:r>
      <w:r w:rsidR="00B530B1" w:rsidRPr="006218BC">
        <w:rPr>
          <w:lang w:val="en-GB"/>
        </w:rPr>
        <w:t xml:space="preserve">ourt in particular that greatly impacted the CJEU and its jurisdiction, not only but especially in fundamental rights matters. The Federal Constitutional Court of Germany, the </w:t>
      </w:r>
      <w:proofErr w:type="spellStart"/>
      <w:r w:rsidR="00B530B1" w:rsidRPr="006218BC">
        <w:rPr>
          <w:i/>
          <w:lang w:val="en-GB"/>
        </w:rPr>
        <w:t>Bundesverfassungsgericht</w:t>
      </w:r>
      <w:proofErr w:type="spellEnd"/>
      <w:r w:rsidR="00B530B1" w:rsidRPr="006218BC">
        <w:rPr>
          <w:lang w:val="en-GB"/>
        </w:rPr>
        <w:t xml:space="preserve"> (</w:t>
      </w:r>
      <w:proofErr w:type="spellStart"/>
      <w:r w:rsidR="00B530B1" w:rsidRPr="006218BC">
        <w:rPr>
          <w:lang w:val="en-GB"/>
        </w:rPr>
        <w:t>BVerfG</w:t>
      </w:r>
      <w:proofErr w:type="spellEnd"/>
      <w:r w:rsidR="00B530B1" w:rsidRPr="006218BC">
        <w:rPr>
          <w:lang w:val="en-GB"/>
        </w:rPr>
        <w:t>).</w:t>
      </w:r>
    </w:p>
    <w:p w14:paraId="09B964D5" w14:textId="77777777" w:rsidR="00B530B1" w:rsidRPr="006218BC" w:rsidRDefault="00B530B1" w:rsidP="00CD3D33">
      <w:pPr>
        <w:spacing w:line="360" w:lineRule="auto"/>
        <w:jc w:val="both"/>
        <w:rPr>
          <w:lang w:val="en-GB"/>
        </w:rPr>
      </w:pPr>
    </w:p>
    <w:p w14:paraId="1215E06D" w14:textId="58E88A89" w:rsidR="00B530B1" w:rsidRPr="006218BC" w:rsidRDefault="00B530B1" w:rsidP="00CD3D33">
      <w:pPr>
        <w:spacing w:line="360" w:lineRule="auto"/>
        <w:jc w:val="both"/>
        <w:rPr>
          <w:lang w:val="en-GB"/>
        </w:rPr>
      </w:pPr>
      <w:r w:rsidRPr="006218BC">
        <w:rPr>
          <w:lang w:val="en-GB"/>
        </w:rPr>
        <w:t>Germany</w:t>
      </w:r>
      <w:r w:rsidR="00361490">
        <w:rPr>
          <w:lang w:val="en-GB"/>
        </w:rPr>
        <w:t xml:space="preserve">’s highest court </w:t>
      </w:r>
      <w:r w:rsidRPr="006218BC">
        <w:rPr>
          <w:lang w:val="en-GB"/>
        </w:rPr>
        <w:t>has proven to be one of the most influential institutions in the field of constitutional review worldwide</w:t>
      </w:r>
      <w:r w:rsidRPr="006218BC">
        <w:rPr>
          <w:rStyle w:val="Funotenzeichen"/>
          <w:lang w:val="en-GB"/>
        </w:rPr>
        <w:footnoteReference w:id="49"/>
      </w:r>
      <w:r w:rsidR="00F21E2E" w:rsidRPr="006218BC">
        <w:rPr>
          <w:lang w:val="en-GB"/>
        </w:rPr>
        <w:t xml:space="preserve">, </w:t>
      </w:r>
      <w:r w:rsidRPr="006218BC">
        <w:rPr>
          <w:lang w:val="en-GB"/>
        </w:rPr>
        <w:t xml:space="preserve">especially </w:t>
      </w:r>
      <w:r w:rsidR="00361490">
        <w:rPr>
          <w:lang w:val="en-GB"/>
        </w:rPr>
        <w:t>in the field of</w:t>
      </w:r>
      <w:r w:rsidRPr="006218BC">
        <w:rPr>
          <w:lang w:val="en-GB"/>
        </w:rPr>
        <w:t xml:space="preserve"> fundamental rights protection.</w:t>
      </w:r>
      <w:r w:rsidR="00F21E2E" w:rsidRPr="006218BC">
        <w:rPr>
          <w:rStyle w:val="Funotenzeichen"/>
          <w:lang w:val="en-GB"/>
        </w:rPr>
        <w:footnoteReference w:id="50"/>
      </w:r>
      <w:r w:rsidR="00361490">
        <w:rPr>
          <w:lang w:val="en-GB"/>
        </w:rPr>
        <w:t xml:space="preserve"> </w:t>
      </w:r>
      <w:r w:rsidRPr="006218BC">
        <w:rPr>
          <w:lang w:val="en-GB"/>
        </w:rPr>
        <w:t xml:space="preserve">Its highly active </w:t>
      </w:r>
      <w:r w:rsidR="00361490">
        <w:rPr>
          <w:lang w:val="en-GB"/>
        </w:rPr>
        <w:t>jurisprudence has paved the way for other c</w:t>
      </w:r>
      <w:r w:rsidRPr="006218BC">
        <w:rPr>
          <w:lang w:val="en-GB"/>
        </w:rPr>
        <w:t>ourts</w:t>
      </w:r>
      <w:r w:rsidR="006C6B32">
        <w:rPr>
          <w:rStyle w:val="Funotenzeichen"/>
          <w:lang w:val="en-GB"/>
        </w:rPr>
        <w:footnoteReference w:id="51"/>
      </w:r>
      <w:r w:rsidRPr="006218BC">
        <w:rPr>
          <w:lang w:val="en-GB"/>
        </w:rPr>
        <w:t xml:space="preserve"> to change their style of jurisprudence and therefore practically establish themselves as active player</w:t>
      </w:r>
      <w:r w:rsidR="0032350C">
        <w:rPr>
          <w:lang w:val="en-GB"/>
        </w:rPr>
        <w:t>s</w:t>
      </w:r>
      <w:r w:rsidRPr="006218BC">
        <w:rPr>
          <w:lang w:val="en-GB"/>
        </w:rPr>
        <w:t xml:space="preserve"> in various fields of politics.</w:t>
      </w:r>
      <w:r w:rsidR="00F21E2E" w:rsidRPr="006218BC">
        <w:rPr>
          <w:rStyle w:val="Funotenzeichen"/>
          <w:lang w:val="en-GB"/>
        </w:rPr>
        <w:footnoteReference w:id="52"/>
      </w:r>
      <w:r w:rsidR="008E48F6">
        <w:rPr>
          <w:lang w:val="en-GB"/>
        </w:rPr>
        <w:t xml:space="preserve"> There are several reasons</w:t>
      </w:r>
      <w:r w:rsidRPr="006218BC">
        <w:rPr>
          <w:lang w:val="en-GB"/>
        </w:rPr>
        <w:t xml:space="preserve"> why the </w:t>
      </w:r>
      <w:proofErr w:type="spellStart"/>
      <w:r w:rsidRPr="006218BC">
        <w:rPr>
          <w:lang w:val="en-GB"/>
        </w:rPr>
        <w:t>BVerfG</w:t>
      </w:r>
      <w:proofErr w:type="spellEnd"/>
      <w:r w:rsidRPr="006218BC">
        <w:rPr>
          <w:lang w:val="en-GB"/>
        </w:rPr>
        <w:t xml:space="preserve"> </w:t>
      </w:r>
      <w:r w:rsidR="0032350C">
        <w:rPr>
          <w:lang w:val="en-GB"/>
        </w:rPr>
        <w:t>has</w:t>
      </w:r>
      <w:r w:rsidRPr="006218BC">
        <w:rPr>
          <w:lang w:val="en-GB"/>
        </w:rPr>
        <w:t xml:space="preserve"> such </w:t>
      </w:r>
      <w:r w:rsidR="0032350C">
        <w:rPr>
          <w:lang w:val="en-GB"/>
        </w:rPr>
        <w:t>wide</w:t>
      </w:r>
      <w:r w:rsidRPr="006218BC">
        <w:rPr>
          <w:lang w:val="en-GB"/>
        </w:rPr>
        <w:t xml:space="preserve"> competenc</w:t>
      </w:r>
      <w:r w:rsidR="0032350C">
        <w:rPr>
          <w:lang w:val="en-GB"/>
        </w:rPr>
        <w:t>i</w:t>
      </w:r>
      <w:r w:rsidRPr="006218BC">
        <w:rPr>
          <w:lang w:val="en-GB"/>
        </w:rPr>
        <w:t xml:space="preserve">es, but most of them are a product of the specific historical, political and philosophical background that </w:t>
      </w:r>
      <w:r w:rsidR="0032350C">
        <w:rPr>
          <w:lang w:val="en-GB"/>
        </w:rPr>
        <w:t>shaped modern</w:t>
      </w:r>
      <w:r w:rsidRPr="006218BC">
        <w:rPr>
          <w:lang w:val="en-GB"/>
        </w:rPr>
        <w:t xml:space="preserve"> legal culture.</w:t>
      </w:r>
      <w:r w:rsidR="00DD7F20" w:rsidRPr="006218BC">
        <w:rPr>
          <w:rStyle w:val="Funotenzeichen"/>
          <w:lang w:val="en-GB"/>
        </w:rPr>
        <w:footnoteReference w:id="53"/>
      </w:r>
      <w:r w:rsidRPr="006218BC">
        <w:rPr>
          <w:lang w:val="en-GB"/>
        </w:rPr>
        <w:t xml:space="preserve"> This </w:t>
      </w:r>
      <w:r w:rsidR="0032350C" w:rsidRPr="0032350C">
        <w:rPr>
          <w:color w:val="000000" w:themeColor="text1"/>
          <w:lang w:val="en-GB"/>
        </w:rPr>
        <w:t>leading</w:t>
      </w:r>
      <w:r w:rsidRPr="0032350C">
        <w:rPr>
          <w:color w:val="000000" w:themeColor="text1"/>
          <w:lang w:val="en-GB"/>
        </w:rPr>
        <w:t xml:space="preserve"> role</w:t>
      </w:r>
      <w:r w:rsidRPr="006218BC">
        <w:rPr>
          <w:lang w:val="en-GB"/>
        </w:rPr>
        <w:t xml:space="preserve"> led to </w:t>
      </w:r>
      <w:r w:rsidR="0032350C">
        <w:rPr>
          <w:lang w:val="en-GB"/>
        </w:rPr>
        <w:t xml:space="preserve">various conflicts </w:t>
      </w:r>
      <w:r w:rsidRPr="006218BC">
        <w:rPr>
          <w:lang w:val="en-GB"/>
        </w:rPr>
        <w:t>with other public institutions. One</w:t>
      </w:r>
      <w:r w:rsidR="00DD7F20" w:rsidRPr="006218BC">
        <w:rPr>
          <w:lang w:val="en-GB"/>
        </w:rPr>
        <w:t xml:space="preserve"> </w:t>
      </w:r>
      <w:r w:rsidR="0032350C">
        <w:rPr>
          <w:lang w:val="en-GB"/>
        </w:rPr>
        <w:t xml:space="preserve">of these </w:t>
      </w:r>
      <w:r w:rsidRPr="006218BC">
        <w:rPr>
          <w:lang w:val="en-GB"/>
        </w:rPr>
        <w:t xml:space="preserve">is the still </w:t>
      </w:r>
      <w:proofErr w:type="spellStart"/>
      <w:r w:rsidRPr="006218BC">
        <w:rPr>
          <w:lang w:val="en-GB"/>
        </w:rPr>
        <w:t>ongoing</w:t>
      </w:r>
      <w:proofErr w:type="spellEnd"/>
      <w:r w:rsidRPr="006218BC">
        <w:rPr>
          <w:lang w:val="en-GB"/>
        </w:rPr>
        <w:t xml:space="preserve"> </w:t>
      </w:r>
      <w:r w:rsidR="0032350C">
        <w:rPr>
          <w:lang w:val="en-GB"/>
        </w:rPr>
        <w:t>disagreement</w:t>
      </w:r>
      <w:r w:rsidRPr="006218BC">
        <w:rPr>
          <w:lang w:val="en-GB"/>
        </w:rPr>
        <w:t xml:space="preserve"> with the CJEU over their </w:t>
      </w:r>
      <w:r w:rsidR="00DD7F20" w:rsidRPr="006218BC">
        <w:rPr>
          <w:lang w:val="en-GB"/>
        </w:rPr>
        <w:t xml:space="preserve">claims on </w:t>
      </w:r>
      <w:r w:rsidRPr="006218BC">
        <w:rPr>
          <w:lang w:val="en-GB"/>
        </w:rPr>
        <w:t>supremacy in constitutional matters respectively.</w:t>
      </w:r>
    </w:p>
    <w:p w14:paraId="6C4F7D61" w14:textId="77777777" w:rsidR="00B530B1" w:rsidRPr="006218BC" w:rsidRDefault="00B530B1" w:rsidP="00CD3D33">
      <w:pPr>
        <w:spacing w:line="360" w:lineRule="auto"/>
        <w:jc w:val="both"/>
        <w:rPr>
          <w:lang w:val="en-GB"/>
        </w:rPr>
      </w:pPr>
    </w:p>
    <w:p w14:paraId="4089D807" w14:textId="74BC4E20" w:rsidR="00B530B1" w:rsidRPr="006218BC" w:rsidRDefault="00B530B1" w:rsidP="00CD3D33">
      <w:pPr>
        <w:spacing w:line="360" w:lineRule="auto"/>
        <w:jc w:val="both"/>
        <w:rPr>
          <w:lang w:val="en-GB"/>
        </w:rPr>
      </w:pPr>
      <w:r w:rsidRPr="006218BC">
        <w:rPr>
          <w:lang w:val="en-GB"/>
        </w:rPr>
        <w:t xml:space="preserve">When the CJEU innovatively promoted and established the doctrines of direct affect and supremacy of EU law in constitutional matters, it automatically challenged the competences and the leading role of the </w:t>
      </w:r>
      <w:proofErr w:type="spellStart"/>
      <w:r w:rsidRPr="006218BC">
        <w:rPr>
          <w:lang w:val="en-GB"/>
        </w:rPr>
        <w:t>BVerfG</w:t>
      </w:r>
      <w:proofErr w:type="spellEnd"/>
      <w:r w:rsidRPr="006218BC">
        <w:rPr>
          <w:lang w:val="en-GB"/>
        </w:rPr>
        <w:t xml:space="preserve"> in</w:t>
      </w:r>
      <w:r w:rsidR="00DD7F20" w:rsidRPr="006218BC">
        <w:rPr>
          <w:lang w:val="en-GB"/>
        </w:rPr>
        <w:t xml:space="preserve"> the legal system of</w:t>
      </w:r>
      <w:r w:rsidRPr="006218BC">
        <w:rPr>
          <w:lang w:val="en-GB"/>
        </w:rPr>
        <w:t xml:space="preserve"> Germany. The highest authority in deciding how to</w:t>
      </w:r>
      <w:r w:rsidR="00DD7F20" w:rsidRPr="006218BC">
        <w:rPr>
          <w:lang w:val="en-GB"/>
        </w:rPr>
        <w:t xml:space="preserve"> interpret and apply </w:t>
      </w:r>
      <w:r w:rsidRPr="006218BC">
        <w:rPr>
          <w:lang w:val="en-GB"/>
        </w:rPr>
        <w:t>the</w:t>
      </w:r>
      <w:r w:rsidR="00736AC1">
        <w:rPr>
          <w:lang w:val="en-GB"/>
        </w:rPr>
        <w:t xml:space="preserve"> German Constitution, the</w:t>
      </w:r>
      <w:r w:rsidRPr="006218BC">
        <w:rPr>
          <w:lang w:val="en-GB"/>
        </w:rPr>
        <w:t xml:space="preserve"> </w:t>
      </w:r>
      <w:proofErr w:type="spellStart"/>
      <w:r w:rsidRPr="00262D68">
        <w:rPr>
          <w:i/>
          <w:lang w:val="en-GB"/>
        </w:rPr>
        <w:t>Grundgesetz</w:t>
      </w:r>
      <w:proofErr w:type="spellEnd"/>
      <w:r w:rsidRPr="006218BC">
        <w:rPr>
          <w:lang w:val="en-GB"/>
        </w:rPr>
        <w:t xml:space="preserve"> (GG)</w:t>
      </w:r>
      <w:r w:rsidR="00736AC1">
        <w:rPr>
          <w:lang w:val="en-GB"/>
        </w:rPr>
        <w:t>,</w:t>
      </w:r>
      <w:r w:rsidRPr="006218BC">
        <w:rPr>
          <w:lang w:val="en-GB"/>
        </w:rPr>
        <w:t xml:space="preserve"> suddenly was </w:t>
      </w:r>
      <w:r w:rsidR="008E48F6">
        <w:rPr>
          <w:lang w:val="en-GB"/>
        </w:rPr>
        <w:t>no longer</w:t>
      </w:r>
      <w:r w:rsidRPr="006218BC">
        <w:rPr>
          <w:lang w:val="en-GB"/>
        </w:rPr>
        <w:t xml:space="preserve"> the </w:t>
      </w:r>
      <w:proofErr w:type="spellStart"/>
      <w:r w:rsidRPr="006218BC">
        <w:rPr>
          <w:lang w:val="en-GB"/>
        </w:rPr>
        <w:t>BVerfG</w:t>
      </w:r>
      <w:proofErr w:type="spellEnd"/>
      <w:r w:rsidRPr="006218BC">
        <w:rPr>
          <w:lang w:val="en-GB"/>
        </w:rPr>
        <w:t>. This had to be a serious issue for a</w:t>
      </w:r>
      <w:r w:rsidR="00DD7F20" w:rsidRPr="006218BC">
        <w:rPr>
          <w:lang w:val="en-GB"/>
        </w:rPr>
        <w:t xml:space="preserve"> traditionally</w:t>
      </w:r>
      <w:r w:rsidRPr="006218BC">
        <w:rPr>
          <w:lang w:val="en-GB"/>
        </w:rPr>
        <w:t xml:space="preserve"> powerful and</w:t>
      </w:r>
      <w:r w:rsidR="00736AC1">
        <w:rPr>
          <w:lang w:val="en-GB"/>
        </w:rPr>
        <w:t xml:space="preserve"> confident court like the </w:t>
      </w:r>
      <w:proofErr w:type="spellStart"/>
      <w:r w:rsidR="00736AC1" w:rsidRPr="00262D68">
        <w:rPr>
          <w:i/>
          <w:lang w:val="en-GB"/>
        </w:rPr>
        <w:t>Bundesverfassungsgericht</w:t>
      </w:r>
      <w:proofErr w:type="spellEnd"/>
      <w:r w:rsidRPr="006218BC">
        <w:rPr>
          <w:lang w:val="en-GB"/>
        </w:rPr>
        <w:t>.</w:t>
      </w:r>
    </w:p>
    <w:p w14:paraId="0331686D" w14:textId="77777777" w:rsidR="00B530B1" w:rsidRPr="006218BC" w:rsidRDefault="00B530B1" w:rsidP="00CD3D33">
      <w:pPr>
        <w:spacing w:line="360" w:lineRule="auto"/>
        <w:jc w:val="both"/>
        <w:rPr>
          <w:lang w:val="en-GB"/>
        </w:rPr>
      </w:pPr>
    </w:p>
    <w:p w14:paraId="1498B5B1" w14:textId="392D80B5" w:rsidR="00B530B1" w:rsidRPr="006218BC" w:rsidRDefault="00B530B1" w:rsidP="00CD3D33">
      <w:pPr>
        <w:spacing w:line="360" w:lineRule="auto"/>
        <w:jc w:val="both"/>
        <w:rPr>
          <w:lang w:val="en-GB"/>
        </w:rPr>
      </w:pPr>
      <w:r w:rsidRPr="006218BC">
        <w:rPr>
          <w:lang w:val="en-GB"/>
        </w:rPr>
        <w:t xml:space="preserve">In order to understand the following development, it is necessary to have some understanding of the </w:t>
      </w:r>
      <w:r w:rsidR="0092099E">
        <w:rPr>
          <w:lang w:val="en-GB"/>
        </w:rPr>
        <w:t>evolution</w:t>
      </w:r>
      <w:r w:rsidRPr="006218BC">
        <w:rPr>
          <w:lang w:val="en-GB"/>
        </w:rPr>
        <w:t xml:space="preserve"> and the meaning of the constitution not only in the legal, but also in political and social life in Germany.</w:t>
      </w:r>
      <w:r w:rsidR="0092099E">
        <w:rPr>
          <w:lang w:val="en-GB"/>
        </w:rPr>
        <w:t xml:space="preserve"> </w:t>
      </w:r>
      <w:r w:rsidRPr="006218BC">
        <w:rPr>
          <w:lang w:val="en-GB"/>
        </w:rPr>
        <w:t xml:space="preserve">After </w:t>
      </w:r>
      <w:r w:rsidR="0092099E">
        <w:rPr>
          <w:lang w:val="en-GB"/>
        </w:rPr>
        <w:t>the Second World War and the</w:t>
      </w:r>
      <w:r w:rsidRPr="006218BC">
        <w:rPr>
          <w:lang w:val="en-GB"/>
        </w:rPr>
        <w:t xml:space="preserve"> numerous crimes</w:t>
      </w:r>
      <w:r w:rsidR="0092099E">
        <w:rPr>
          <w:lang w:val="en-GB"/>
        </w:rPr>
        <w:t xml:space="preserve"> of </w:t>
      </w:r>
      <w:r w:rsidR="0051192E">
        <w:rPr>
          <w:lang w:val="en-GB"/>
        </w:rPr>
        <w:t>the Nazi r</w:t>
      </w:r>
      <w:r w:rsidRPr="006218BC">
        <w:rPr>
          <w:lang w:val="en-GB"/>
        </w:rPr>
        <w:t>egime, Germany needed a clean and fresh</w:t>
      </w:r>
      <w:r w:rsidR="0051192E">
        <w:rPr>
          <w:lang w:val="en-GB"/>
        </w:rPr>
        <w:t xml:space="preserve"> start both as a society and a </w:t>
      </w:r>
      <w:r w:rsidRPr="006218BC">
        <w:rPr>
          <w:lang w:val="en-GB"/>
        </w:rPr>
        <w:t>nati</w:t>
      </w:r>
      <w:r w:rsidR="0092099E">
        <w:rPr>
          <w:lang w:val="en-GB"/>
        </w:rPr>
        <w:t>on. The adoption of a new constitution was the final centre</w:t>
      </w:r>
      <w:r w:rsidRPr="006218BC">
        <w:rPr>
          <w:lang w:val="en-GB"/>
        </w:rPr>
        <w:t xml:space="preserve">piece of this transformation in embodying a new identity. </w:t>
      </w:r>
      <w:r w:rsidR="0092099E">
        <w:rPr>
          <w:lang w:val="en-GB"/>
        </w:rPr>
        <w:t>In this light, the new Constitution (</w:t>
      </w:r>
      <w:r w:rsidRPr="006218BC">
        <w:rPr>
          <w:lang w:val="en-GB"/>
        </w:rPr>
        <w:t xml:space="preserve">the </w:t>
      </w:r>
      <w:r w:rsidRPr="0092099E">
        <w:rPr>
          <w:i/>
          <w:lang w:val="en-GB"/>
        </w:rPr>
        <w:t xml:space="preserve">Bonner </w:t>
      </w:r>
      <w:proofErr w:type="spellStart"/>
      <w:r w:rsidRPr="0092099E">
        <w:rPr>
          <w:i/>
          <w:lang w:val="en-GB"/>
        </w:rPr>
        <w:t>Grundgesetz</w:t>
      </w:r>
      <w:proofErr w:type="spellEnd"/>
      <w:r w:rsidR="0092099E">
        <w:rPr>
          <w:lang w:val="en-GB"/>
        </w:rPr>
        <w:t>)</w:t>
      </w:r>
      <w:r w:rsidRPr="006218BC">
        <w:rPr>
          <w:lang w:val="en-GB"/>
        </w:rPr>
        <w:t xml:space="preserve"> is highly respected by the citizens and has a particular high standing in the legal </w:t>
      </w:r>
      <w:r w:rsidR="008E48F6">
        <w:rPr>
          <w:lang w:val="en-GB"/>
        </w:rPr>
        <w:t>order as well as in in politics.</w:t>
      </w:r>
    </w:p>
    <w:p w14:paraId="417EFE73" w14:textId="77777777" w:rsidR="00B530B1" w:rsidRPr="006218BC" w:rsidRDefault="00B530B1" w:rsidP="00CD3D33">
      <w:pPr>
        <w:spacing w:line="360" w:lineRule="auto"/>
        <w:jc w:val="both"/>
        <w:rPr>
          <w:lang w:val="en-GB"/>
        </w:rPr>
      </w:pPr>
    </w:p>
    <w:p w14:paraId="3FF44FA1" w14:textId="0CA79F80" w:rsidR="00B530B1" w:rsidRPr="006218BC" w:rsidRDefault="00B530B1" w:rsidP="00CD3D33">
      <w:pPr>
        <w:spacing w:line="360" w:lineRule="auto"/>
        <w:jc w:val="both"/>
        <w:rPr>
          <w:rFonts w:eastAsia="Times New Roman" w:cs="Times New Roman"/>
          <w:lang w:val="en-GB"/>
        </w:rPr>
      </w:pPr>
      <w:r w:rsidRPr="006218BC">
        <w:rPr>
          <w:lang w:val="en-GB"/>
        </w:rPr>
        <w:t>The Constitution itself starts of with its famous confession that the “</w:t>
      </w:r>
      <w:r w:rsidRPr="006218BC">
        <w:rPr>
          <w:rFonts w:eastAsia="Times New Roman" w:cs="Times New Roman"/>
          <w:lang w:val="en-GB"/>
        </w:rPr>
        <w:t>Human dignity shall be inviolable. To respect and protect it shall be the duty of all state authority.“</w:t>
      </w:r>
      <w:r w:rsidR="0092099E">
        <w:rPr>
          <w:rStyle w:val="Funotenzeichen"/>
          <w:rFonts w:eastAsia="Times New Roman" w:cs="Times New Roman"/>
          <w:lang w:val="en-GB"/>
        </w:rPr>
        <w:footnoteReference w:id="54"/>
      </w:r>
      <w:r w:rsidRPr="006218BC">
        <w:rPr>
          <w:rFonts w:eastAsia="Times New Roman" w:cs="Times New Roman"/>
          <w:lang w:val="en-GB"/>
        </w:rPr>
        <w:t xml:space="preserve"> The following provision</w:t>
      </w:r>
      <w:r w:rsidR="00DD7F20" w:rsidRPr="006218BC">
        <w:rPr>
          <w:rFonts w:eastAsia="Times New Roman" w:cs="Times New Roman"/>
          <w:lang w:val="en-GB"/>
        </w:rPr>
        <w:t>s</w:t>
      </w:r>
      <w:r w:rsidR="0092099E">
        <w:rPr>
          <w:rStyle w:val="Funotenzeichen"/>
          <w:rFonts w:eastAsia="Times New Roman" w:cs="Times New Roman"/>
          <w:lang w:val="en-GB"/>
        </w:rPr>
        <w:footnoteReference w:id="55"/>
      </w:r>
      <w:r w:rsidRPr="006218BC">
        <w:rPr>
          <w:rFonts w:eastAsia="Times New Roman" w:cs="Times New Roman"/>
          <w:lang w:val="en-GB"/>
        </w:rPr>
        <w:t xml:space="preserve"> </w:t>
      </w:r>
      <w:r w:rsidR="00DD7F20" w:rsidRPr="006218BC">
        <w:rPr>
          <w:rFonts w:eastAsia="Times New Roman" w:cs="Times New Roman"/>
          <w:lang w:val="en-GB"/>
        </w:rPr>
        <w:t>all outline individual fundamental rights of</w:t>
      </w:r>
      <w:r w:rsidRPr="006218BC">
        <w:rPr>
          <w:rFonts w:eastAsia="Times New Roman" w:cs="Times New Roman"/>
          <w:lang w:val="en-GB"/>
        </w:rPr>
        <w:t xml:space="preserve"> </w:t>
      </w:r>
      <w:r w:rsidR="00DD7F20" w:rsidRPr="006218BC">
        <w:rPr>
          <w:rFonts w:eastAsia="Times New Roman" w:cs="Times New Roman"/>
          <w:lang w:val="en-GB"/>
        </w:rPr>
        <w:t>citizens</w:t>
      </w:r>
      <w:r w:rsidRPr="006218BC">
        <w:rPr>
          <w:rFonts w:eastAsia="Times New Roman" w:cs="Times New Roman"/>
          <w:lang w:val="en-GB"/>
        </w:rPr>
        <w:t>.</w:t>
      </w:r>
    </w:p>
    <w:p w14:paraId="1A9FA2C4" w14:textId="48AB849F" w:rsidR="00B530B1" w:rsidRPr="006218BC" w:rsidRDefault="00B530B1" w:rsidP="00CD3D33">
      <w:pPr>
        <w:spacing w:line="360" w:lineRule="auto"/>
        <w:jc w:val="both"/>
        <w:rPr>
          <w:lang w:val="en-GB"/>
        </w:rPr>
      </w:pPr>
      <w:r w:rsidRPr="006218BC">
        <w:rPr>
          <w:lang w:val="en-GB"/>
        </w:rPr>
        <w:t xml:space="preserve">The </w:t>
      </w:r>
      <w:r w:rsidR="0092099E">
        <w:rPr>
          <w:lang w:val="en-GB"/>
        </w:rPr>
        <w:t>great principle of human d</w:t>
      </w:r>
      <w:r w:rsidRPr="006218BC">
        <w:rPr>
          <w:lang w:val="en-GB"/>
        </w:rPr>
        <w:t xml:space="preserve">ignity, used as a </w:t>
      </w:r>
      <w:r w:rsidRPr="006218BC">
        <w:rPr>
          <w:i/>
          <w:lang w:val="en-GB"/>
        </w:rPr>
        <w:t xml:space="preserve">pars pro </w:t>
      </w:r>
      <w:proofErr w:type="spellStart"/>
      <w:r w:rsidRPr="006218BC">
        <w:rPr>
          <w:i/>
          <w:lang w:val="en-GB"/>
        </w:rPr>
        <w:t>toto</w:t>
      </w:r>
      <w:proofErr w:type="spellEnd"/>
      <w:r w:rsidRPr="006218BC">
        <w:rPr>
          <w:lang w:val="en-GB"/>
        </w:rPr>
        <w:t xml:space="preserve"> for fundamental rights in general</w:t>
      </w:r>
      <w:r w:rsidR="005E2580" w:rsidRPr="006218BC">
        <w:rPr>
          <w:rStyle w:val="Funotenzeichen"/>
          <w:lang w:val="en-GB"/>
        </w:rPr>
        <w:footnoteReference w:id="56"/>
      </w:r>
      <w:r w:rsidR="005E2580" w:rsidRPr="006218BC">
        <w:rPr>
          <w:lang w:val="en-GB"/>
        </w:rPr>
        <w:t xml:space="preserve">, </w:t>
      </w:r>
      <w:r w:rsidRPr="006218BC">
        <w:rPr>
          <w:lang w:val="en-GB"/>
        </w:rPr>
        <w:t xml:space="preserve">hence stands in the </w:t>
      </w:r>
      <w:r w:rsidR="0092099E">
        <w:rPr>
          <w:lang w:val="en-GB"/>
        </w:rPr>
        <w:t xml:space="preserve">centre of the </w:t>
      </w:r>
      <w:proofErr w:type="spellStart"/>
      <w:r w:rsidR="0092099E" w:rsidRPr="00262D68">
        <w:rPr>
          <w:i/>
          <w:lang w:val="en-GB"/>
        </w:rPr>
        <w:t>Grundgesetz</w:t>
      </w:r>
      <w:proofErr w:type="spellEnd"/>
      <w:r w:rsidRPr="006218BC">
        <w:rPr>
          <w:lang w:val="en-GB"/>
        </w:rPr>
        <w:t>. In the light of all the cruelty and inj</w:t>
      </w:r>
      <w:r w:rsidR="0092099E">
        <w:rPr>
          <w:lang w:val="en-GB"/>
        </w:rPr>
        <w:t>ustice suffered during the Nazi r</w:t>
      </w:r>
      <w:r w:rsidRPr="006218BC">
        <w:rPr>
          <w:lang w:val="en-GB"/>
        </w:rPr>
        <w:t xml:space="preserve">egime, the people of Germany line out that the protection of everybody’s basic rights is a main task of any form of government, which is acting under the </w:t>
      </w:r>
      <w:proofErr w:type="spellStart"/>
      <w:r w:rsidRPr="00262D68">
        <w:rPr>
          <w:i/>
          <w:lang w:val="en-GB"/>
        </w:rPr>
        <w:t>Grundgesetz</w:t>
      </w:r>
      <w:proofErr w:type="spellEnd"/>
      <w:r w:rsidRPr="006218BC">
        <w:rPr>
          <w:lang w:val="en-GB"/>
        </w:rPr>
        <w:t>. In order to be able to successfully live up to this task, the Federal Constitutional Court is</w:t>
      </w:r>
      <w:r w:rsidR="004C4ECB" w:rsidRPr="006218BC">
        <w:rPr>
          <w:lang w:val="en-GB"/>
        </w:rPr>
        <w:t xml:space="preserve"> granted extensive competences in </w:t>
      </w:r>
      <w:r w:rsidRPr="006218BC">
        <w:rPr>
          <w:lang w:val="en-GB"/>
        </w:rPr>
        <w:t>Art</w:t>
      </w:r>
      <w:r w:rsidR="005E2580" w:rsidRPr="006218BC">
        <w:rPr>
          <w:lang w:val="en-GB"/>
        </w:rPr>
        <w:t>. 93</w:t>
      </w:r>
      <w:r w:rsidR="004C4ECB" w:rsidRPr="006218BC">
        <w:rPr>
          <w:lang w:val="en-GB"/>
        </w:rPr>
        <w:t xml:space="preserve"> GG.</w:t>
      </w:r>
    </w:p>
    <w:p w14:paraId="7933F36B" w14:textId="77777777" w:rsidR="00B530B1" w:rsidRPr="006218BC" w:rsidRDefault="00B530B1" w:rsidP="00CD3D33">
      <w:pPr>
        <w:spacing w:line="360" w:lineRule="auto"/>
        <w:jc w:val="both"/>
        <w:rPr>
          <w:lang w:val="en-GB"/>
        </w:rPr>
      </w:pPr>
    </w:p>
    <w:p w14:paraId="590E553E" w14:textId="21AF7EB1" w:rsidR="00B530B1" w:rsidRPr="006218BC" w:rsidRDefault="00B530B1" w:rsidP="00CD3D33">
      <w:pPr>
        <w:spacing w:line="360" w:lineRule="auto"/>
        <w:jc w:val="both"/>
        <w:rPr>
          <w:rFonts w:eastAsia="Times New Roman" w:cs="Times New Roman"/>
          <w:lang w:val="en-GB"/>
        </w:rPr>
      </w:pPr>
      <w:r w:rsidRPr="006218BC">
        <w:rPr>
          <w:lang w:val="en-GB"/>
        </w:rPr>
        <w:t xml:space="preserve">Those competences were challenged by the constitutional integration of the European Union, as </w:t>
      </w:r>
      <w:r w:rsidR="0021609E">
        <w:rPr>
          <w:lang w:val="en-GB"/>
        </w:rPr>
        <w:t>discussed</w:t>
      </w:r>
      <w:r w:rsidRPr="006218BC">
        <w:rPr>
          <w:lang w:val="en-GB"/>
        </w:rPr>
        <w:t xml:space="preserve"> above. In 1974 in a first reaction</w:t>
      </w:r>
      <w:r w:rsidR="004C4ECB" w:rsidRPr="006218BC">
        <w:rPr>
          <w:rStyle w:val="Funotenzeichen"/>
          <w:lang w:val="en-GB"/>
        </w:rPr>
        <w:footnoteReference w:id="57"/>
      </w:r>
      <w:r w:rsidRPr="006218BC">
        <w:rPr>
          <w:lang w:val="en-GB"/>
        </w:rPr>
        <w:t xml:space="preserve">, the </w:t>
      </w:r>
      <w:proofErr w:type="spellStart"/>
      <w:r w:rsidRPr="006218BC">
        <w:rPr>
          <w:lang w:val="en-GB"/>
        </w:rPr>
        <w:t>BVerfG</w:t>
      </w:r>
      <w:proofErr w:type="spellEnd"/>
      <w:r w:rsidRPr="006218BC">
        <w:rPr>
          <w:lang w:val="en-GB"/>
        </w:rPr>
        <w:t xml:space="preserve"> therefore rejected the principle of supremacy of EU law and the jurisprudence of the CJEU over national constitutional law and the jurisprudence of the German constitutional court.</w:t>
      </w:r>
      <w:r w:rsidR="00DF68B1" w:rsidRPr="006218BC">
        <w:rPr>
          <w:lang w:val="en-GB"/>
        </w:rPr>
        <w:t xml:space="preserve"> It is a fair conclusion that a legal system recently empowered by the doctrines of direct effect and primacy should not be left unchecked.</w:t>
      </w:r>
      <w:r w:rsidR="00DF68B1" w:rsidRPr="006218BC">
        <w:rPr>
          <w:rStyle w:val="Funotenzeichen"/>
          <w:lang w:val="en-GB"/>
        </w:rPr>
        <w:footnoteReference w:id="58"/>
      </w:r>
      <w:r w:rsidRPr="006218BC">
        <w:rPr>
          <w:lang w:val="en-GB"/>
        </w:rPr>
        <w:t xml:space="preserve"> The competence to review any case on its compatibility with the GG, remained reserved with the </w:t>
      </w:r>
      <w:proofErr w:type="spellStart"/>
      <w:r w:rsidRPr="006218BC">
        <w:rPr>
          <w:lang w:val="en-GB"/>
        </w:rPr>
        <w:t>BVerfG</w:t>
      </w:r>
      <w:proofErr w:type="spellEnd"/>
      <w:r w:rsidR="00C031F0" w:rsidRPr="006218BC">
        <w:rPr>
          <w:lang w:val="en-GB"/>
        </w:rPr>
        <w:t>.</w:t>
      </w:r>
      <w:r w:rsidR="005E2580" w:rsidRPr="006218BC">
        <w:rPr>
          <w:rFonts w:eastAsia="Times New Roman" w:cs="Times New Roman"/>
          <w:lang w:val="en-GB"/>
        </w:rPr>
        <w:t xml:space="preserve"> </w:t>
      </w:r>
      <w:r w:rsidR="0021609E">
        <w:rPr>
          <w:rFonts w:eastAsia="Times New Roman" w:cs="Times New Roman"/>
          <w:lang w:val="en-GB"/>
        </w:rPr>
        <w:t>so</w:t>
      </w:r>
      <w:r w:rsidR="005E2580" w:rsidRPr="006218BC">
        <w:rPr>
          <w:rFonts w:eastAsia="Times New Roman" w:cs="Times New Roman"/>
          <w:lang w:val="en-GB"/>
        </w:rPr>
        <w:t xml:space="preserve"> long (“</w:t>
      </w:r>
      <w:proofErr w:type="spellStart"/>
      <w:r w:rsidR="005E2580" w:rsidRPr="006218BC">
        <w:rPr>
          <w:rFonts w:eastAsia="Times New Roman" w:cs="Times New Roman"/>
          <w:lang w:val="en-GB"/>
        </w:rPr>
        <w:t>Solange</w:t>
      </w:r>
      <w:proofErr w:type="spellEnd"/>
      <w:r w:rsidR="005E2580" w:rsidRPr="006218BC">
        <w:rPr>
          <w:rFonts w:eastAsia="Times New Roman" w:cs="Times New Roman"/>
          <w:lang w:val="en-GB"/>
        </w:rPr>
        <w:t>”)</w:t>
      </w:r>
      <w:r w:rsidR="0021609E">
        <w:rPr>
          <w:rFonts w:eastAsia="Times New Roman" w:cs="Times New Roman"/>
          <w:lang w:val="en-GB"/>
        </w:rPr>
        <w:t xml:space="preserve"> as</w:t>
      </w:r>
      <w:r w:rsidR="005E2580" w:rsidRPr="006218BC">
        <w:rPr>
          <w:rFonts w:eastAsia="Times New Roman" w:cs="Times New Roman"/>
          <w:lang w:val="en-GB"/>
        </w:rPr>
        <w:t xml:space="preserve"> the CJEU and Union law in general are not able to guarantee a level of fundamental rights protection that is viewed as equivalent to the fundamental rights regime established in the </w:t>
      </w:r>
      <w:proofErr w:type="spellStart"/>
      <w:r w:rsidR="005E2580" w:rsidRPr="00262D68">
        <w:rPr>
          <w:rFonts w:eastAsia="Times New Roman" w:cs="Times New Roman"/>
          <w:i/>
          <w:lang w:val="en-GB"/>
        </w:rPr>
        <w:t>Grundgesetz</w:t>
      </w:r>
      <w:proofErr w:type="spellEnd"/>
      <w:r w:rsidR="005E2580" w:rsidRPr="006218BC">
        <w:rPr>
          <w:rFonts w:eastAsia="Times New Roman" w:cs="Times New Roman"/>
          <w:lang w:val="en-GB"/>
        </w:rPr>
        <w:t>. It additionally</w:t>
      </w:r>
      <w:r w:rsidRPr="006218BC">
        <w:rPr>
          <w:rFonts w:eastAsia="Times New Roman" w:cs="Times New Roman"/>
          <w:lang w:val="en-GB"/>
        </w:rPr>
        <w:t xml:space="preserve"> demanded a further democratization and enhancing of t</w:t>
      </w:r>
      <w:r w:rsidR="005E2580" w:rsidRPr="006218BC">
        <w:rPr>
          <w:rFonts w:eastAsia="Times New Roman" w:cs="Times New Roman"/>
          <w:lang w:val="en-GB"/>
        </w:rPr>
        <w:t>he European Parliament</w:t>
      </w:r>
      <w:r w:rsidRPr="006218BC">
        <w:rPr>
          <w:rFonts w:eastAsia="Times New Roman" w:cs="Times New Roman"/>
          <w:lang w:val="en-GB"/>
        </w:rPr>
        <w:t xml:space="preserve"> in order to accept the supreme jurisdiction of the CJEU in constitutional matters.</w:t>
      </w:r>
    </w:p>
    <w:p w14:paraId="15E911A7" w14:textId="3C620DBF" w:rsidR="00B530B1" w:rsidRPr="006218BC" w:rsidRDefault="00B530B1" w:rsidP="00CD3D33">
      <w:pPr>
        <w:spacing w:line="360" w:lineRule="auto"/>
        <w:jc w:val="both"/>
        <w:rPr>
          <w:rFonts w:eastAsia="Times New Roman" w:cs="Times New Roman"/>
          <w:lang w:val="en-GB"/>
        </w:rPr>
      </w:pPr>
      <w:r w:rsidRPr="006218BC">
        <w:rPr>
          <w:rFonts w:eastAsia="Times New Roman" w:cs="Times New Roman"/>
          <w:lang w:val="en-GB"/>
        </w:rPr>
        <w:t>After correlating changes to the primary law of the EU had been made,</w:t>
      </w:r>
      <w:r w:rsidRPr="006218BC">
        <w:rPr>
          <w:lang w:val="en-GB"/>
        </w:rPr>
        <w:t xml:space="preserve"> the </w:t>
      </w:r>
      <w:proofErr w:type="spellStart"/>
      <w:r w:rsidRPr="00262D68">
        <w:rPr>
          <w:lang w:val="en-GB"/>
        </w:rPr>
        <w:t>BVerfG</w:t>
      </w:r>
      <w:proofErr w:type="spellEnd"/>
      <w:r w:rsidRPr="006218BC">
        <w:rPr>
          <w:lang w:val="en-GB"/>
        </w:rPr>
        <w:t xml:space="preserve"> had</w:t>
      </w:r>
      <w:r w:rsidR="004C4ECB" w:rsidRPr="006218BC">
        <w:rPr>
          <w:lang w:val="en-GB"/>
        </w:rPr>
        <w:t xml:space="preserve"> to make sure</w:t>
      </w:r>
      <w:r w:rsidRPr="006218BC">
        <w:rPr>
          <w:lang w:val="en-GB"/>
        </w:rPr>
        <w:t xml:space="preserve"> that the level of fundamental rights protection does not take any harm by the establishment of Unions law supremacy. In 1986</w:t>
      </w:r>
      <w:r w:rsidR="004C4ECB" w:rsidRPr="006218BC">
        <w:rPr>
          <w:lang w:val="en-GB"/>
        </w:rPr>
        <w:t>,</w:t>
      </w:r>
      <w:r w:rsidRPr="006218BC">
        <w:rPr>
          <w:lang w:val="en-GB"/>
        </w:rPr>
        <w:t xml:space="preserve"> in its so called “</w:t>
      </w:r>
      <w:proofErr w:type="spellStart"/>
      <w:r w:rsidRPr="006218BC">
        <w:rPr>
          <w:lang w:val="en-GB"/>
        </w:rPr>
        <w:t>Solange</w:t>
      </w:r>
      <w:proofErr w:type="spellEnd"/>
      <w:r w:rsidRPr="006218BC">
        <w:rPr>
          <w:lang w:val="en-GB"/>
        </w:rPr>
        <w:t xml:space="preserve"> II” judgment</w:t>
      </w:r>
      <w:r w:rsidR="004C4ECB" w:rsidRPr="006218BC">
        <w:rPr>
          <w:rStyle w:val="Funotenzeichen"/>
          <w:lang w:val="en-GB"/>
        </w:rPr>
        <w:footnoteReference w:id="59"/>
      </w:r>
      <w:r w:rsidR="004C4ECB" w:rsidRPr="006218BC">
        <w:rPr>
          <w:lang w:val="en-GB"/>
        </w:rPr>
        <w:t>,</w:t>
      </w:r>
      <w:r w:rsidRPr="006218BC">
        <w:rPr>
          <w:rFonts w:eastAsia="Times New Roman" w:cs="Times New Roman"/>
          <w:lang w:val="en-GB"/>
        </w:rPr>
        <w:t xml:space="preserve"> it stated that </w:t>
      </w:r>
      <w:r w:rsidR="0021609E">
        <w:rPr>
          <w:rFonts w:eastAsia="Times New Roman" w:cs="Times New Roman"/>
          <w:lang w:val="en-GB"/>
        </w:rPr>
        <w:t>so</w:t>
      </w:r>
      <w:r w:rsidRPr="006218BC">
        <w:rPr>
          <w:rFonts w:eastAsia="Times New Roman" w:cs="Times New Roman"/>
          <w:lang w:val="en-GB"/>
        </w:rPr>
        <w:t xml:space="preserve"> long</w:t>
      </w:r>
      <w:r w:rsidR="0021609E">
        <w:rPr>
          <w:rFonts w:eastAsia="Times New Roman" w:cs="Times New Roman"/>
          <w:lang w:val="en-GB"/>
        </w:rPr>
        <w:t xml:space="preserve"> as</w:t>
      </w:r>
      <w:r w:rsidRPr="006218BC">
        <w:rPr>
          <w:rFonts w:eastAsia="Times New Roman" w:cs="Times New Roman"/>
          <w:lang w:val="en-GB"/>
        </w:rPr>
        <w:t xml:space="preserve"> there is an equivalent level of fundamental rights protection by </w:t>
      </w:r>
      <w:r w:rsidR="0021609E">
        <w:rPr>
          <w:rFonts w:eastAsia="Times New Roman" w:cs="Times New Roman"/>
          <w:lang w:val="en-GB"/>
        </w:rPr>
        <w:t>EU</w:t>
      </w:r>
      <w:r w:rsidRPr="006218BC">
        <w:rPr>
          <w:rFonts w:eastAsia="Times New Roman" w:cs="Times New Roman"/>
          <w:lang w:val="en-GB"/>
        </w:rPr>
        <w:t xml:space="preserve"> Law and particularly the jurisprudence of the CJEU, the </w:t>
      </w:r>
      <w:proofErr w:type="spellStart"/>
      <w:r w:rsidRPr="00262D68">
        <w:rPr>
          <w:rFonts w:eastAsia="Times New Roman" w:cs="Times New Roman"/>
          <w:lang w:val="en-GB"/>
        </w:rPr>
        <w:t>BVerfG</w:t>
      </w:r>
      <w:proofErr w:type="spellEnd"/>
      <w:r w:rsidRPr="006218BC">
        <w:rPr>
          <w:rFonts w:eastAsia="Times New Roman" w:cs="Times New Roman"/>
          <w:lang w:val="en-GB"/>
        </w:rPr>
        <w:t xml:space="preserve"> accepts the doctrine of supremacy and will not rule on any specific cases.</w:t>
      </w:r>
      <w:r w:rsidR="00F90797" w:rsidRPr="006218BC">
        <w:rPr>
          <w:rStyle w:val="Funotenzeichen"/>
          <w:rFonts w:eastAsia="Times New Roman" w:cs="Times New Roman"/>
          <w:lang w:val="en-GB"/>
        </w:rPr>
        <w:footnoteReference w:id="60"/>
      </w:r>
    </w:p>
    <w:p w14:paraId="2956FD40" w14:textId="77777777" w:rsidR="00B530B1" w:rsidRPr="006218BC" w:rsidRDefault="00B530B1" w:rsidP="00CD3D33">
      <w:pPr>
        <w:spacing w:line="360" w:lineRule="auto"/>
        <w:jc w:val="both"/>
        <w:rPr>
          <w:rFonts w:eastAsia="Times New Roman" w:cs="Times New Roman"/>
          <w:lang w:val="en-GB"/>
        </w:rPr>
      </w:pPr>
    </w:p>
    <w:p w14:paraId="15E41324" w14:textId="402053E1" w:rsidR="00B530B1" w:rsidRPr="008F4A97" w:rsidRDefault="0021609E" w:rsidP="00CD3D33">
      <w:pPr>
        <w:spacing w:line="360" w:lineRule="auto"/>
        <w:jc w:val="both"/>
        <w:rPr>
          <w:rFonts w:eastAsia="Times New Roman" w:cs="Times New Roman"/>
          <w:lang w:val="en-GB"/>
        </w:rPr>
      </w:pPr>
      <w:r>
        <w:rPr>
          <w:rFonts w:eastAsia="Times New Roman" w:cs="Times New Roman"/>
          <w:lang w:val="en-GB"/>
        </w:rPr>
        <w:t>In all</w:t>
      </w:r>
      <w:r w:rsidR="00B530B1" w:rsidRPr="006218BC">
        <w:rPr>
          <w:rFonts w:eastAsia="Times New Roman" w:cs="Times New Roman"/>
          <w:lang w:val="en-GB"/>
        </w:rPr>
        <w:t xml:space="preserve">, the CJEU directly challenged the </w:t>
      </w:r>
      <w:proofErr w:type="spellStart"/>
      <w:r w:rsidRPr="00262D68">
        <w:rPr>
          <w:rFonts w:eastAsia="Times New Roman" w:cs="Times New Roman"/>
          <w:i/>
          <w:lang w:val="en-GB"/>
        </w:rPr>
        <w:t>Bundesverfassungsgericht</w:t>
      </w:r>
      <w:proofErr w:type="spellEnd"/>
      <w:r w:rsidR="00B530B1" w:rsidRPr="006218BC">
        <w:rPr>
          <w:rFonts w:eastAsia="Times New Roman" w:cs="Times New Roman"/>
          <w:lang w:val="en-GB"/>
        </w:rPr>
        <w:t xml:space="preserve"> with its doctrine of supremacy of </w:t>
      </w:r>
      <w:r>
        <w:rPr>
          <w:rFonts w:eastAsia="Times New Roman" w:cs="Times New Roman"/>
          <w:lang w:val="en-GB"/>
        </w:rPr>
        <w:t>EU</w:t>
      </w:r>
      <w:r w:rsidR="00B530B1" w:rsidRPr="006218BC">
        <w:rPr>
          <w:rFonts w:eastAsia="Times New Roman" w:cs="Times New Roman"/>
          <w:lang w:val="en-GB"/>
        </w:rPr>
        <w:t xml:space="preserve"> law over </w:t>
      </w:r>
      <w:r>
        <w:rPr>
          <w:rFonts w:eastAsia="Times New Roman" w:cs="Times New Roman"/>
          <w:lang w:val="en-GB"/>
        </w:rPr>
        <w:t>national constitutional law. On</w:t>
      </w:r>
      <w:r w:rsidR="00B530B1" w:rsidRPr="006218BC">
        <w:rPr>
          <w:rFonts w:eastAsia="Times New Roman" w:cs="Times New Roman"/>
          <w:lang w:val="en-GB"/>
        </w:rPr>
        <w:t xml:space="preserve"> one hand, the </w:t>
      </w:r>
      <w:proofErr w:type="spellStart"/>
      <w:r w:rsidR="00B530B1" w:rsidRPr="00262D68">
        <w:rPr>
          <w:rFonts w:eastAsia="Times New Roman" w:cs="Times New Roman"/>
          <w:lang w:val="en-GB"/>
        </w:rPr>
        <w:t>BVerfG</w:t>
      </w:r>
      <w:proofErr w:type="spellEnd"/>
      <w:r w:rsidR="00B530B1" w:rsidRPr="006218BC">
        <w:rPr>
          <w:rFonts w:eastAsia="Times New Roman" w:cs="Times New Roman"/>
          <w:lang w:val="en-GB"/>
        </w:rPr>
        <w:t xml:space="preserve"> reluctantly accepted that doctrine, on the other hand however it </w:t>
      </w:r>
      <w:proofErr w:type="spellStart"/>
      <w:r w:rsidR="00B530B1" w:rsidRPr="006218BC">
        <w:rPr>
          <w:rFonts w:eastAsia="Times New Roman" w:cs="Times New Roman"/>
          <w:lang w:val="en-GB"/>
        </w:rPr>
        <w:t>remindingly</w:t>
      </w:r>
      <w:proofErr w:type="spellEnd"/>
      <w:r w:rsidR="00B530B1" w:rsidRPr="006218BC">
        <w:rPr>
          <w:rFonts w:eastAsia="Times New Roman" w:cs="Times New Roman"/>
          <w:lang w:val="en-GB"/>
        </w:rPr>
        <w:t xml:space="preserve"> pointed out the limits of its acceptance. Since then, the </w:t>
      </w:r>
      <w:proofErr w:type="spellStart"/>
      <w:r w:rsidR="00B530B1" w:rsidRPr="00262D68">
        <w:rPr>
          <w:rFonts w:eastAsia="Times New Roman" w:cs="Times New Roman"/>
          <w:lang w:val="en-GB"/>
        </w:rPr>
        <w:t>BVerfG</w:t>
      </w:r>
      <w:proofErr w:type="spellEnd"/>
      <w:r w:rsidR="00B530B1" w:rsidRPr="006218BC">
        <w:rPr>
          <w:rFonts w:eastAsia="Times New Roman" w:cs="Times New Roman"/>
          <w:lang w:val="en-GB"/>
        </w:rPr>
        <w:t xml:space="preserve"> has been a respected player in the game of reforming the constitutional fundament of the EU, as it proved to stand firm with its competences and responsibilities and not to shy away from controversy with any institution of the EU.</w:t>
      </w:r>
    </w:p>
    <w:p w14:paraId="69BF14C2" w14:textId="00A80470" w:rsidR="00B530B1" w:rsidRPr="006218BC" w:rsidRDefault="00B530B1" w:rsidP="00CD3D33">
      <w:pPr>
        <w:pStyle w:val="berschrift2"/>
        <w:jc w:val="both"/>
        <w:rPr>
          <w:lang w:val="en-GB"/>
        </w:rPr>
      </w:pPr>
      <w:bookmarkStart w:id="8" w:name="_Toc311385414"/>
      <w:r w:rsidRPr="006218BC">
        <w:rPr>
          <w:lang w:val="en-GB"/>
        </w:rPr>
        <w:t xml:space="preserve">The </w:t>
      </w:r>
      <w:r w:rsidR="00D93D0B" w:rsidRPr="00D93D0B">
        <w:rPr>
          <w:lang w:val="en-GB"/>
        </w:rPr>
        <w:t>German Federal Constitutional Court</w:t>
      </w:r>
      <w:r w:rsidRPr="006218BC">
        <w:rPr>
          <w:lang w:val="en-GB"/>
        </w:rPr>
        <w:t xml:space="preserve"> as a role model for judicial activism</w:t>
      </w:r>
      <w:bookmarkEnd w:id="8"/>
    </w:p>
    <w:p w14:paraId="628C37A8" w14:textId="77777777" w:rsidR="00B530B1" w:rsidRPr="006218BC" w:rsidRDefault="00B530B1" w:rsidP="00CD3D33">
      <w:pPr>
        <w:spacing w:line="360" w:lineRule="auto"/>
        <w:jc w:val="both"/>
        <w:rPr>
          <w:lang w:val="en-GB"/>
        </w:rPr>
      </w:pPr>
    </w:p>
    <w:p w14:paraId="4848DAA9" w14:textId="1F308C85" w:rsidR="004C4ECB" w:rsidRPr="006218BC" w:rsidRDefault="004C4ECB" w:rsidP="00CD3D33">
      <w:pPr>
        <w:spacing w:line="360" w:lineRule="auto"/>
        <w:jc w:val="both"/>
        <w:rPr>
          <w:lang w:val="en-GB"/>
        </w:rPr>
      </w:pPr>
      <w:r w:rsidRPr="006218BC">
        <w:rPr>
          <w:lang w:val="en-GB"/>
        </w:rPr>
        <w:t xml:space="preserve">The </w:t>
      </w:r>
      <w:proofErr w:type="spellStart"/>
      <w:r w:rsidR="0021609E" w:rsidRPr="00262D68">
        <w:rPr>
          <w:i/>
          <w:lang w:val="en-GB"/>
        </w:rPr>
        <w:t>Bundesverfassungsgericht</w:t>
      </w:r>
      <w:proofErr w:type="spellEnd"/>
      <w:r w:rsidRPr="006218BC">
        <w:rPr>
          <w:lang w:val="en-GB"/>
        </w:rPr>
        <w:t xml:space="preserve"> has influenced the fundamental rights doctrine of the </w:t>
      </w:r>
      <w:r w:rsidR="0021609E">
        <w:rPr>
          <w:lang w:val="en-GB"/>
        </w:rPr>
        <w:t>CJEU in another way, i.e. b</w:t>
      </w:r>
      <w:r w:rsidRPr="006218BC">
        <w:rPr>
          <w:lang w:val="en-GB"/>
        </w:rPr>
        <w:t>y leading as an example for the great potential of ju</w:t>
      </w:r>
      <w:r w:rsidR="0021609E">
        <w:rPr>
          <w:lang w:val="en-GB"/>
        </w:rPr>
        <w:t>dicial activism by a constitutional c</w:t>
      </w:r>
      <w:r w:rsidRPr="006218BC">
        <w:rPr>
          <w:lang w:val="en-GB"/>
        </w:rPr>
        <w:t>ourt.</w:t>
      </w:r>
    </w:p>
    <w:p w14:paraId="2DF96814" w14:textId="77777777" w:rsidR="004C4ECB" w:rsidRPr="006218BC" w:rsidRDefault="004C4ECB" w:rsidP="00CD3D33">
      <w:pPr>
        <w:spacing w:line="360" w:lineRule="auto"/>
        <w:jc w:val="both"/>
        <w:rPr>
          <w:lang w:val="en-GB"/>
        </w:rPr>
      </w:pPr>
    </w:p>
    <w:p w14:paraId="2AA3290E" w14:textId="3836111C" w:rsidR="00B530B1" w:rsidRPr="006218BC" w:rsidRDefault="00B530B1" w:rsidP="00CD3D33">
      <w:pPr>
        <w:spacing w:line="360" w:lineRule="auto"/>
        <w:jc w:val="both"/>
        <w:rPr>
          <w:lang w:val="en-GB"/>
        </w:rPr>
      </w:pPr>
      <w:r w:rsidRPr="006218BC">
        <w:rPr>
          <w:lang w:val="en-GB"/>
        </w:rPr>
        <w:t>Fundamental rights, like most aspects of constitutional law, are typically expressed in general and abstract wording. That way they are uncontested and yet contested.</w:t>
      </w:r>
      <w:r w:rsidR="0021609E">
        <w:rPr>
          <w:lang w:val="en-GB"/>
        </w:rPr>
        <w:t xml:space="preserve"> </w:t>
      </w:r>
      <w:r w:rsidRPr="006218BC">
        <w:rPr>
          <w:lang w:val="en-GB"/>
        </w:rPr>
        <w:t xml:space="preserve">They are uncontested as provisions guaranteeing freedom and liberty to everyone, which are widely accepted. Yet they are contested in regard to their meaning </w:t>
      </w:r>
      <w:r w:rsidRPr="006218BC">
        <w:rPr>
          <w:i/>
          <w:lang w:val="en-GB"/>
        </w:rPr>
        <w:t xml:space="preserve">in </w:t>
      </w:r>
      <w:proofErr w:type="spellStart"/>
      <w:r w:rsidRPr="006218BC">
        <w:rPr>
          <w:i/>
          <w:lang w:val="en-GB"/>
        </w:rPr>
        <w:t>concreto</w:t>
      </w:r>
      <w:proofErr w:type="spellEnd"/>
      <w:r w:rsidRPr="006218BC">
        <w:rPr>
          <w:lang w:val="en-GB"/>
        </w:rPr>
        <w:t xml:space="preserve"> in contemporary society, as such general and abstract provisions need to be interpreted in order to gain actual affect. It is this dichotomy that makes fundamental rights such an intriguing and </w:t>
      </w:r>
      <w:r w:rsidR="0021609E">
        <w:rPr>
          <w:lang w:val="en-GB"/>
        </w:rPr>
        <w:t xml:space="preserve">potent tool for any form of law </w:t>
      </w:r>
      <w:r w:rsidRPr="006218BC">
        <w:rPr>
          <w:lang w:val="en-GB"/>
        </w:rPr>
        <w:t>making. They provide both, a great sense of legitimacy for your proposal and yet a great amount of creative leeway what actually to propose. It basically comes down to having the persuasive or institutional authority to convincingly draw the own ideas upon fundamental rights.</w:t>
      </w:r>
      <w:r w:rsidR="006239FF" w:rsidRPr="006218BC">
        <w:rPr>
          <w:rStyle w:val="Funotenzeichen"/>
          <w:lang w:val="en-GB"/>
        </w:rPr>
        <w:footnoteReference w:id="61"/>
      </w:r>
    </w:p>
    <w:p w14:paraId="506AC9FD" w14:textId="77777777" w:rsidR="00B530B1" w:rsidRPr="006218BC" w:rsidRDefault="00B530B1" w:rsidP="00CD3D33">
      <w:pPr>
        <w:spacing w:line="360" w:lineRule="auto"/>
        <w:jc w:val="both"/>
        <w:rPr>
          <w:lang w:val="en-GB"/>
        </w:rPr>
      </w:pPr>
    </w:p>
    <w:p w14:paraId="2BD3C8D3" w14:textId="24363C89" w:rsidR="00B530B1" w:rsidRPr="006218BC" w:rsidRDefault="00B530B1" w:rsidP="00CD3D33">
      <w:pPr>
        <w:spacing w:line="360" w:lineRule="auto"/>
        <w:jc w:val="both"/>
        <w:rPr>
          <w:lang w:val="en-GB"/>
        </w:rPr>
      </w:pPr>
      <w:r w:rsidRPr="006218BC">
        <w:rPr>
          <w:lang w:val="en-GB"/>
        </w:rPr>
        <w:t xml:space="preserve">The one public institution that usually resembles those two characteristics best </w:t>
      </w:r>
      <w:r w:rsidR="0021609E">
        <w:rPr>
          <w:lang w:val="en-GB"/>
        </w:rPr>
        <w:t>is the constitutional c</w:t>
      </w:r>
      <w:r w:rsidR="005E07E6" w:rsidRPr="006218BC">
        <w:rPr>
          <w:lang w:val="en-GB"/>
        </w:rPr>
        <w:t>ourt</w:t>
      </w:r>
      <w:r w:rsidRPr="006218BC">
        <w:rPr>
          <w:lang w:val="en-GB"/>
        </w:rPr>
        <w:t xml:space="preserve">. Firstly, because of </w:t>
      </w:r>
      <w:r w:rsidR="0021609E">
        <w:rPr>
          <w:lang w:val="en-GB"/>
        </w:rPr>
        <w:t>the nature of its</w:t>
      </w:r>
      <w:r w:rsidRPr="006218BC">
        <w:rPr>
          <w:lang w:val="en-GB"/>
        </w:rPr>
        <w:t xml:space="preserve"> work, </w:t>
      </w:r>
      <w:r w:rsidR="00BF34D3" w:rsidRPr="006218BC">
        <w:rPr>
          <w:lang w:val="en-GB"/>
        </w:rPr>
        <w:t>it</w:t>
      </w:r>
      <w:r w:rsidRPr="006218BC">
        <w:rPr>
          <w:lang w:val="en-GB"/>
        </w:rPr>
        <w:t xml:space="preserve"> contain</w:t>
      </w:r>
      <w:r w:rsidR="00BF34D3" w:rsidRPr="006218BC">
        <w:rPr>
          <w:lang w:val="en-GB"/>
        </w:rPr>
        <w:t>s</w:t>
      </w:r>
      <w:r w:rsidRPr="006218BC">
        <w:rPr>
          <w:lang w:val="en-GB"/>
        </w:rPr>
        <w:t xml:space="preserve"> all the knowledge necessary to bolster their judgments with the persuasive authority needed to use fundamental rights successfully.</w:t>
      </w:r>
      <w:r w:rsidR="0021609E">
        <w:rPr>
          <w:lang w:val="en-GB"/>
        </w:rPr>
        <w:t xml:space="preserve"> Secondly, as an institution, constitutional courts, like supreme courts in general, </w:t>
      </w:r>
      <w:r w:rsidRPr="006218BC">
        <w:rPr>
          <w:lang w:val="en-GB"/>
        </w:rPr>
        <w:t>traditionally enjoy a great sense of authority within th</w:t>
      </w:r>
      <w:r w:rsidR="00FE469B" w:rsidRPr="006218BC">
        <w:rPr>
          <w:lang w:val="en-GB"/>
        </w:rPr>
        <w:t>e citizens and the other public</w:t>
      </w:r>
      <w:r w:rsidRPr="006218BC">
        <w:rPr>
          <w:lang w:val="en-GB"/>
        </w:rPr>
        <w:t xml:space="preserve"> institutions.</w:t>
      </w:r>
      <w:r w:rsidR="006239FF" w:rsidRPr="006218BC">
        <w:rPr>
          <w:rStyle w:val="Funotenzeichen"/>
          <w:lang w:val="en-GB"/>
        </w:rPr>
        <w:footnoteReference w:id="62"/>
      </w:r>
    </w:p>
    <w:p w14:paraId="76CC1F4A" w14:textId="77777777" w:rsidR="00B530B1" w:rsidRPr="006218BC" w:rsidRDefault="00B530B1" w:rsidP="00CD3D33">
      <w:pPr>
        <w:spacing w:line="360" w:lineRule="auto"/>
        <w:jc w:val="both"/>
        <w:rPr>
          <w:lang w:val="en-GB"/>
        </w:rPr>
      </w:pPr>
    </w:p>
    <w:p w14:paraId="0FD95585" w14:textId="3F53C6AC" w:rsidR="00B530B1" w:rsidRPr="006218BC" w:rsidRDefault="00B530B1" w:rsidP="00CD3D33">
      <w:pPr>
        <w:spacing w:line="360" w:lineRule="auto"/>
        <w:jc w:val="both"/>
        <w:rPr>
          <w:lang w:val="en-GB"/>
        </w:rPr>
      </w:pPr>
      <w:r w:rsidRPr="006218BC">
        <w:rPr>
          <w:lang w:val="en-GB"/>
        </w:rPr>
        <w:t xml:space="preserve">As already mentioned above, the German Constitution enjoys a particular high standing within society and politics in Germany. It embodies the values the people of Germany stand for and has played a key role in shaping German identity since its introduction after </w:t>
      </w:r>
      <w:r w:rsidR="0021609E">
        <w:rPr>
          <w:lang w:val="en-GB"/>
        </w:rPr>
        <w:t>the Second World War</w:t>
      </w:r>
      <w:r w:rsidRPr="006218BC">
        <w:rPr>
          <w:lang w:val="en-GB"/>
        </w:rPr>
        <w:t>.</w:t>
      </w:r>
      <w:r w:rsidR="00BF34D3" w:rsidRPr="006218BC">
        <w:rPr>
          <w:rStyle w:val="Funotenzeichen"/>
          <w:lang w:val="en-GB"/>
        </w:rPr>
        <w:footnoteReference w:id="63"/>
      </w:r>
      <w:r w:rsidRPr="006218BC">
        <w:rPr>
          <w:lang w:val="en-GB"/>
        </w:rPr>
        <w:t xml:space="preserve"> A similar significance </w:t>
      </w:r>
      <w:r w:rsidR="00125CF1">
        <w:rPr>
          <w:lang w:val="en-GB"/>
        </w:rPr>
        <w:t>is</w:t>
      </w:r>
      <w:r w:rsidR="007B6F30">
        <w:rPr>
          <w:lang w:val="en-GB"/>
        </w:rPr>
        <w:t xml:space="preserve"> </w:t>
      </w:r>
      <w:r w:rsidRPr="006218BC">
        <w:rPr>
          <w:lang w:val="en-GB"/>
        </w:rPr>
        <w:t>attributed to the guardian</w:t>
      </w:r>
      <w:r w:rsidR="0021609E">
        <w:rPr>
          <w:lang w:val="en-GB"/>
        </w:rPr>
        <w:t xml:space="preserve"> of the </w:t>
      </w:r>
      <w:proofErr w:type="spellStart"/>
      <w:r w:rsidR="00125CF1" w:rsidRPr="00125CF1">
        <w:rPr>
          <w:i/>
          <w:lang w:val="en-GB"/>
        </w:rPr>
        <w:t>Grundgesetz</w:t>
      </w:r>
      <w:proofErr w:type="spellEnd"/>
      <w:r w:rsidR="0021609E">
        <w:rPr>
          <w:lang w:val="en-GB"/>
        </w:rPr>
        <w:t>, t</w:t>
      </w:r>
      <w:r w:rsidRPr="006218BC">
        <w:rPr>
          <w:lang w:val="en-GB"/>
        </w:rPr>
        <w:t xml:space="preserve">he </w:t>
      </w:r>
      <w:proofErr w:type="spellStart"/>
      <w:r w:rsidRPr="006218BC">
        <w:rPr>
          <w:i/>
          <w:lang w:val="en-GB"/>
        </w:rPr>
        <w:t>Bundesverfassungsgericht</w:t>
      </w:r>
      <w:proofErr w:type="spellEnd"/>
      <w:r w:rsidRPr="006218BC">
        <w:rPr>
          <w:lang w:val="en-GB"/>
        </w:rPr>
        <w:t xml:space="preserve">. </w:t>
      </w:r>
    </w:p>
    <w:p w14:paraId="1FB277B4" w14:textId="77777777" w:rsidR="00B530B1" w:rsidRPr="006218BC" w:rsidRDefault="00B530B1" w:rsidP="00CD3D33">
      <w:pPr>
        <w:spacing w:line="360" w:lineRule="auto"/>
        <w:jc w:val="both"/>
        <w:rPr>
          <w:lang w:val="en-GB"/>
        </w:rPr>
      </w:pPr>
    </w:p>
    <w:p w14:paraId="1CA70A90" w14:textId="3A7E6ECF" w:rsidR="00B530B1" w:rsidRPr="006218BC" w:rsidRDefault="00125CF1" w:rsidP="00CD3D33">
      <w:pPr>
        <w:spacing w:line="360" w:lineRule="auto"/>
        <w:jc w:val="both"/>
        <w:rPr>
          <w:lang w:val="en-GB"/>
        </w:rPr>
      </w:pPr>
      <w:r>
        <w:rPr>
          <w:lang w:val="en-GB"/>
        </w:rPr>
        <w:t>An</w:t>
      </w:r>
      <w:r w:rsidR="00B530B1" w:rsidRPr="006218BC">
        <w:rPr>
          <w:lang w:val="en-GB"/>
        </w:rPr>
        <w:t xml:space="preserve"> extraordinary great amount of trust was put into the </w:t>
      </w:r>
      <w:proofErr w:type="spellStart"/>
      <w:r>
        <w:rPr>
          <w:lang w:val="en-GB"/>
        </w:rPr>
        <w:t>BVerfG</w:t>
      </w:r>
      <w:proofErr w:type="spellEnd"/>
      <w:r w:rsidR="00B530B1" w:rsidRPr="006218BC">
        <w:rPr>
          <w:lang w:val="en-GB"/>
        </w:rPr>
        <w:t xml:space="preserve"> early on, when the citizens of Germany hoped for a fresh start in the light of liberty and justice secured by the Court after the dark years under the legal system of the Nazi-Regime. It proved to be impossible to replace all NS-afflicted judges due to practical</w:t>
      </w:r>
      <w:r w:rsidR="004C4ECB" w:rsidRPr="006218BC">
        <w:rPr>
          <w:rStyle w:val="Funotenzeichen"/>
          <w:lang w:val="en-GB"/>
        </w:rPr>
        <w:footnoteReference w:id="64"/>
      </w:r>
      <w:r w:rsidR="00B530B1" w:rsidRPr="006218BC">
        <w:rPr>
          <w:lang w:val="en-GB"/>
        </w:rPr>
        <w:t xml:space="preserve"> and ideological</w:t>
      </w:r>
      <w:r w:rsidR="004C4ECB" w:rsidRPr="006218BC">
        <w:rPr>
          <w:rStyle w:val="Funotenzeichen"/>
          <w:lang w:val="en-GB"/>
        </w:rPr>
        <w:footnoteReference w:id="65"/>
      </w:r>
      <w:r w:rsidR="00B530B1" w:rsidRPr="006218BC">
        <w:rPr>
          <w:lang w:val="en-GB"/>
        </w:rPr>
        <w:t xml:space="preserve"> reasons.</w:t>
      </w:r>
      <w:r w:rsidR="005C402F" w:rsidRPr="006218BC">
        <w:rPr>
          <w:rStyle w:val="Funotenzeichen"/>
          <w:lang w:val="en-GB"/>
        </w:rPr>
        <w:footnoteReference w:id="66"/>
      </w:r>
      <w:r w:rsidR="00B530B1" w:rsidRPr="006218BC">
        <w:rPr>
          <w:lang w:val="en-GB"/>
        </w:rPr>
        <w:t xml:space="preserve"> Therefore the competence and duty of the Constitutional Court initially was to effectively implement a new legal spirit to the judiciary. In those early years, most public institutions had to resolve questions about the institutional hierarchy within the newly constituted state, with the judiciary being no exemption. </w:t>
      </w:r>
      <w:r>
        <w:rPr>
          <w:lang w:val="en-GB"/>
        </w:rPr>
        <w:t>Jurisdiction</w:t>
      </w:r>
      <w:r w:rsidR="00B530B1" w:rsidRPr="006218BC">
        <w:rPr>
          <w:lang w:val="en-GB"/>
        </w:rPr>
        <w:t xml:space="preserve"> </w:t>
      </w:r>
      <w:r>
        <w:rPr>
          <w:lang w:val="en-GB"/>
        </w:rPr>
        <w:t>was</w:t>
      </w:r>
      <w:r w:rsidR="00B530B1" w:rsidRPr="006218BC">
        <w:rPr>
          <w:lang w:val="en-GB"/>
        </w:rPr>
        <w:t xml:space="preserve"> claimed, challenged and denied.</w:t>
      </w:r>
      <w:r w:rsidR="005C402F" w:rsidRPr="006218BC">
        <w:rPr>
          <w:rStyle w:val="Funotenzeichen"/>
          <w:lang w:val="en-GB"/>
        </w:rPr>
        <w:footnoteReference w:id="67"/>
      </w:r>
    </w:p>
    <w:p w14:paraId="4F4CE571" w14:textId="77777777" w:rsidR="00B530B1" w:rsidRPr="006218BC" w:rsidRDefault="00B530B1" w:rsidP="00CD3D33">
      <w:pPr>
        <w:spacing w:line="360" w:lineRule="auto"/>
        <w:jc w:val="both"/>
        <w:rPr>
          <w:lang w:val="en-GB"/>
        </w:rPr>
      </w:pPr>
    </w:p>
    <w:p w14:paraId="540B038E" w14:textId="6B5CBB4F" w:rsidR="00B530B1" w:rsidRPr="006218BC" w:rsidRDefault="00B530B1" w:rsidP="00CD3D33">
      <w:pPr>
        <w:spacing w:line="360" w:lineRule="auto"/>
        <w:jc w:val="both"/>
        <w:rPr>
          <w:lang w:val="en-GB"/>
        </w:rPr>
      </w:pPr>
      <w:r w:rsidRPr="006218BC">
        <w:rPr>
          <w:lang w:val="en-GB"/>
        </w:rPr>
        <w:t xml:space="preserve">It is this background that explains the jurisdiction of the </w:t>
      </w:r>
      <w:proofErr w:type="spellStart"/>
      <w:r w:rsidRPr="00262D68">
        <w:rPr>
          <w:i/>
          <w:lang w:val="en-GB"/>
        </w:rPr>
        <w:t>Bundesverfassung</w:t>
      </w:r>
      <w:r w:rsidR="00262D68">
        <w:rPr>
          <w:i/>
          <w:lang w:val="en-GB"/>
        </w:rPr>
        <w:t>sg</w:t>
      </w:r>
      <w:r w:rsidRPr="00262D68">
        <w:rPr>
          <w:i/>
          <w:lang w:val="en-GB"/>
        </w:rPr>
        <w:t>ericht</w:t>
      </w:r>
      <w:proofErr w:type="spellEnd"/>
      <w:r w:rsidRPr="006218BC">
        <w:rPr>
          <w:lang w:val="en-GB"/>
        </w:rPr>
        <w:t xml:space="preserve"> in its early years, when it became a famous example and role model for judicial activism. It did so mostly by using its own fundamental rights doctrine, most prominently in its “</w:t>
      </w:r>
      <w:proofErr w:type="spellStart"/>
      <w:r w:rsidRPr="006218BC">
        <w:rPr>
          <w:lang w:val="en-GB"/>
        </w:rPr>
        <w:t>Lüth</w:t>
      </w:r>
      <w:proofErr w:type="spellEnd"/>
      <w:r w:rsidRPr="006218BC">
        <w:rPr>
          <w:lang w:val="en-GB"/>
        </w:rPr>
        <w:t>”-judgment</w:t>
      </w:r>
      <w:r w:rsidR="005C402F" w:rsidRPr="006218BC">
        <w:rPr>
          <w:rStyle w:val="Funotenzeichen"/>
          <w:lang w:val="en-GB"/>
        </w:rPr>
        <w:footnoteReference w:id="68"/>
      </w:r>
      <w:r w:rsidR="00FE469B" w:rsidRPr="006218BC">
        <w:rPr>
          <w:lang w:val="en-GB"/>
        </w:rPr>
        <w:t xml:space="preserve"> that marked the first</w:t>
      </w:r>
      <w:r w:rsidR="00125CF1">
        <w:rPr>
          <w:lang w:val="en-GB"/>
        </w:rPr>
        <w:t xml:space="preserve"> ever</w:t>
      </w:r>
      <w:r w:rsidR="00FE469B" w:rsidRPr="006218BC">
        <w:rPr>
          <w:lang w:val="en-GB"/>
        </w:rPr>
        <w:t xml:space="preserve"> horizontal application of fundamental rights and therefore introduced the so-called third party effect of fundamental rights to the legal world</w:t>
      </w:r>
      <w:r w:rsidRPr="006218BC">
        <w:rPr>
          <w:lang w:val="en-GB"/>
        </w:rPr>
        <w:t>.</w:t>
      </w:r>
    </w:p>
    <w:p w14:paraId="5DFEA735" w14:textId="77777777" w:rsidR="00B530B1" w:rsidRPr="006218BC" w:rsidRDefault="00B530B1" w:rsidP="00CD3D33">
      <w:pPr>
        <w:spacing w:line="360" w:lineRule="auto"/>
        <w:jc w:val="both"/>
        <w:rPr>
          <w:lang w:val="en-GB"/>
        </w:rPr>
      </w:pPr>
    </w:p>
    <w:p w14:paraId="0D619471" w14:textId="694A88AA" w:rsidR="00B530B1" w:rsidRPr="006218BC" w:rsidRDefault="00B530B1" w:rsidP="00CD3D33">
      <w:pPr>
        <w:spacing w:line="360" w:lineRule="auto"/>
        <w:jc w:val="both"/>
        <w:rPr>
          <w:lang w:val="en-GB"/>
        </w:rPr>
      </w:pPr>
      <w:r w:rsidRPr="006218BC">
        <w:rPr>
          <w:lang w:val="en-GB"/>
        </w:rPr>
        <w:t xml:space="preserve">Even though the </w:t>
      </w:r>
      <w:r w:rsidR="00125CF1">
        <w:rPr>
          <w:lang w:val="en-GB"/>
        </w:rPr>
        <w:t>CJEU</w:t>
      </w:r>
      <w:r w:rsidRPr="006218BC">
        <w:rPr>
          <w:lang w:val="en-GB"/>
        </w:rPr>
        <w:t xml:space="preserve"> does not directly resort to the fundamental rights doctrine of the </w:t>
      </w:r>
      <w:proofErr w:type="spellStart"/>
      <w:r w:rsidRPr="006218BC">
        <w:rPr>
          <w:lang w:val="en-GB"/>
        </w:rPr>
        <w:t>BVerfG</w:t>
      </w:r>
      <w:proofErr w:type="spellEnd"/>
      <w:r w:rsidRPr="006218BC">
        <w:rPr>
          <w:lang w:val="en-GB"/>
        </w:rPr>
        <w:t xml:space="preserve">, the </w:t>
      </w:r>
      <w:proofErr w:type="spellStart"/>
      <w:r w:rsidR="00125CF1" w:rsidRPr="00262D68">
        <w:rPr>
          <w:i/>
          <w:lang w:val="en-GB"/>
        </w:rPr>
        <w:t>Bundesverfassungsgericht</w:t>
      </w:r>
      <w:proofErr w:type="spellEnd"/>
      <w:r w:rsidRPr="006218BC">
        <w:rPr>
          <w:lang w:val="en-GB"/>
        </w:rPr>
        <w:t xml:space="preserve"> undeniably has had a great impact on the CJEU. Firstly, the </w:t>
      </w:r>
      <w:proofErr w:type="spellStart"/>
      <w:r w:rsidRPr="006218BC">
        <w:rPr>
          <w:lang w:val="en-GB"/>
        </w:rPr>
        <w:t>BVerfG</w:t>
      </w:r>
      <w:proofErr w:type="spellEnd"/>
      <w:r w:rsidRPr="006218BC">
        <w:rPr>
          <w:lang w:val="en-GB"/>
        </w:rPr>
        <w:t xml:space="preserve"> has greatly influenced the understanding of fundamental rights worldwide. Secondly, it has shown the political potential of a judicial activism based on a fundamental rights doctrine. Thirdly, the established level of human rights prot</w:t>
      </w:r>
      <w:r w:rsidR="00125CF1">
        <w:rPr>
          <w:lang w:val="en-GB"/>
        </w:rPr>
        <w:t>ection has led to the “</w:t>
      </w:r>
      <w:proofErr w:type="spellStart"/>
      <w:r w:rsidR="00125CF1">
        <w:rPr>
          <w:lang w:val="en-GB"/>
        </w:rPr>
        <w:t>Solange</w:t>
      </w:r>
      <w:proofErr w:type="spellEnd"/>
      <w:r w:rsidR="00125CF1">
        <w:rPr>
          <w:lang w:val="en-GB"/>
        </w:rPr>
        <w:t xml:space="preserve">” </w:t>
      </w:r>
      <w:r w:rsidRPr="006218BC">
        <w:rPr>
          <w:lang w:val="en-GB"/>
        </w:rPr>
        <w:t>conflict in the first place, as mentioned above.</w:t>
      </w:r>
    </w:p>
    <w:p w14:paraId="73887403" w14:textId="77777777" w:rsidR="00B530B1" w:rsidRPr="006218BC" w:rsidRDefault="00B530B1" w:rsidP="00CD3D33">
      <w:pPr>
        <w:spacing w:line="360" w:lineRule="auto"/>
        <w:jc w:val="both"/>
        <w:rPr>
          <w:lang w:val="en-GB"/>
        </w:rPr>
      </w:pPr>
    </w:p>
    <w:p w14:paraId="63356F4A" w14:textId="218F127A" w:rsidR="00B530B1" w:rsidRPr="006218BC" w:rsidRDefault="00DD5072" w:rsidP="00CD3D33">
      <w:pPr>
        <w:pStyle w:val="berschrift2"/>
        <w:jc w:val="both"/>
        <w:rPr>
          <w:lang w:val="en-GB"/>
        </w:rPr>
      </w:pPr>
      <w:bookmarkStart w:id="9" w:name="_Toc311385415"/>
      <w:r w:rsidRPr="006218BC">
        <w:rPr>
          <w:lang w:val="en-GB"/>
        </w:rPr>
        <w:t>(Lack of) Constitutional Reform – The Empty Chair Crisis</w:t>
      </w:r>
      <w:bookmarkEnd w:id="9"/>
    </w:p>
    <w:p w14:paraId="1190A90E" w14:textId="77777777" w:rsidR="00DD5072" w:rsidRPr="006218BC" w:rsidRDefault="00DD5072" w:rsidP="00CD3D33">
      <w:pPr>
        <w:spacing w:line="360" w:lineRule="auto"/>
        <w:jc w:val="both"/>
        <w:rPr>
          <w:lang w:val="en-GB"/>
        </w:rPr>
      </w:pPr>
    </w:p>
    <w:p w14:paraId="5000E9FB" w14:textId="03E0C6D2" w:rsidR="00B530B1" w:rsidRPr="006218BC" w:rsidRDefault="00B530B1" w:rsidP="00CD3D33">
      <w:pPr>
        <w:spacing w:line="360" w:lineRule="auto"/>
        <w:jc w:val="both"/>
        <w:rPr>
          <w:lang w:val="en-GB"/>
        </w:rPr>
      </w:pPr>
      <w:r w:rsidRPr="006218BC">
        <w:rPr>
          <w:lang w:val="en-GB"/>
        </w:rPr>
        <w:t xml:space="preserve">Constitutional law can be amended/updated in two ways, either through legislation or through interpretation. If one </w:t>
      </w:r>
      <w:r w:rsidR="00125CF1">
        <w:rPr>
          <w:lang w:val="en-GB"/>
        </w:rPr>
        <w:t>method</w:t>
      </w:r>
      <w:r w:rsidRPr="006218BC">
        <w:rPr>
          <w:lang w:val="en-GB"/>
        </w:rPr>
        <w:t xml:space="preserve"> fails</w:t>
      </w:r>
      <w:r w:rsidR="00F42024" w:rsidRPr="006218BC">
        <w:rPr>
          <w:lang w:val="en-GB"/>
        </w:rPr>
        <w:t xml:space="preserve"> (e.g. because of lack of political consensus within the legislative branch)</w:t>
      </w:r>
      <w:r w:rsidRPr="006218BC">
        <w:rPr>
          <w:lang w:val="en-GB"/>
        </w:rPr>
        <w:t>, the other traditionally steps in and fills the void.</w:t>
      </w:r>
      <w:r w:rsidR="00DD5072" w:rsidRPr="006218BC">
        <w:rPr>
          <w:rStyle w:val="Funotenzeichen"/>
          <w:lang w:val="en-GB"/>
        </w:rPr>
        <w:footnoteReference w:id="69"/>
      </w:r>
      <w:r w:rsidR="00DD5072" w:rsidRPr="006218BC">
        <w:rPr>
          <w:lang w:val="en-GB"/>
        </w:rPr>
        <w:t xml:space="preserve"> </w:t>
      </w:r>
      <w:r w:rsidR="007B6F30">
        <w:rPr>
          <w:lang w:val="en-GB"/>
        </w:rPr>
        <w:t>R</w:t>
      </w:r>
      <w:r w:rsidRPr="006218BC">
        <w:rPr>
          <w:lang w:val="en-GB"/>
        </w:rPr>
        <w:t>eason</w:t>
      </w:r>
      <w:r w:rsidR="007B6F30">
        <w:rPr>
          <w:lang w:val="en-GB"/>
        </w:rPr>
        <w:t>s</w:t>
      </w:r>
      <w:r w:rsidRPr="006218BC">
        <w:rPr>
          <w:lang w:val="en-GB"/>
        </w:rPr>
        <w:t xml:space="preserve"> for judicial activism therefore </w:t>
      </w:r>
      <w:r w:rsidR="007B6F30">
        <w:rPr>
          <w:lang w:val="en-GB"/>
        </w:rPr>
        <w:t>are</w:t>
      </w:r>
      <w:r w:rsidRPr="006218BC">
        <w:rPr>
          <w:lang w:val="en-GB"/>
        </w:rPr>
        <w:t xml:space="preserve"> lack of political consensus over constitutional i</w:t>
      </w:r>
      <w:r w:rsidR="007B6F30">
        <w:rPr>
          <w:lang w:val="en-GB"/>
        </w:rPr>
        <w:t xml:space="preserve">ssues and constitutional reform or a legislative procedure that makes them unlikely </w:t>
      </w:r>
      <w:r w:rsidR="00BE7079">
        <w:rPr>
          <w:lang w:val="en-GB"/>
        </w:rPr>
        <w:t>to happen.</w:t>
      </w:r>
      <w:r w:rsidR="00BE7079">
        <w:rPr>
          <w:rStyle w:val="Funotenzeichen"/>
          <w:lang w:val="en-GB"/>
        </w:rPr>
        <w:footnoteReference w:id="70"/>
      </w:r>
      <w:r w:rsidR="007B6F30">
        <w:rPr>
          <w:lang w:val="en-GB"/>
        </w:rPr>
        <w:t xml:space="preserve"> </w:t>
      </w:r>
      <w:r w:rsidR="00125CF1">
        <w:rPr>
          <w:lang w:val="en-GB"/>
        </w:rPr>
        <w:t xml:space="preserve"> </w:t>
      </w:r>
      <w:r w:rsidRPr="006218BC">
        <w:rPr>
          <w:lang w:val="en-GB"/>
        </w:rPr>
        <w:t xml:space="preserve">One prominent example is, again, Germany after </w:t>
      </w:r>
      <w:r w:rsidR="00125CF1">
        <w:rPr>
          <w:lang w:val="en-GB"/>
        </w:rPr>
        <w:t>the Second World War</w:t>
      </w:r>
      <w:r w:rsidRPr="006218BC">
        <w:rPr>
          <w:lang w:val="en-GB"/>
        </w:rPr>
        <w:t>, when any legislative action needed consent of the four countries that occupied Germany at that time.</w:t>
      </w:r>
      <w:r w:rsidR="008C2356" w:rsidRPr="006218BC">
        <w:rPr>
          <w:rStyle w:val="Funotenzeichen"/>
          <w:lang w:val="en-GB"/>
        </w:rPr>
        <w:footnoteReference w:id="71"/>
      </w:r>
      <w:r w:rsidRPr="006218BC">
        <w:rPr>
          <w:lang w:val="en-GB"/>
        </w:rPr>
        <w:t xml:space="preserve"> Due to grave ideological differences between the communist </w:t>
      </w:r>
      <w:r w:rsidR="007B6F30">
        <w:rPr>
          <w:lang w:val="en-GB"/>
        </w:rPr>
        <w:t>Soviet Union</w:t>
      </w:r>
      <w:r w:rsidRPr="006218BC">
        <w:rPr>
          <w:lang w:val="en-GB"/>
        </w:rPr>
        <w:t xml:space="preserve"> and the other western countries, constitutional issues could rarely be </w:t>
      </w:r>
      <w:r w:rsidR="00125CF1">
        <w:rPr>
          <w:lang w:val="en-GB"/>
        </w:rPr>
        <w:t>re</w:t>
      </w:r>
      <w:r w:rsidRPr="006218BC">
        <w:rPr>
          <w:lang w:val="en-GB"/>
        </w:rPr>
        <w:t>solved successfully. Consequently it was the Constitutional Court that had to step in and keep the constitution up to date.</w:t>
      </w:r>
    </w:p>
    <w:p w14:paraId="4E1D31D4" w14:textId="77777777" w:rsidR="00B530B1" w:rsidRPr="006218BC" w:rsidRDefault="00B530B1" w:rsidP="00CD3D33">
      <w:pPr>
        <w:spacing w:line="360" w:lineRule="auto"/>
        <w:jc w:val="both"/>
        <w:rPr>
          <w:lang w:val="en-GB"/>
        </w:rPr>
      </w:pPr>
    </w:p>
    <w:p w14:paraId="510D5E38" w14:textId="496BCDE4" w:rsidR="00B530B1" w:rsidRDefault="009B507B" w:rsidP="00CD3D33">
      <w:pPr>
        <w:spacing w:line="360" w:lineRule="auto"/>
        <w:jc w:val="both"/>
        <w:rPr>
          <w:lang w:val="en-GB"/>
        </w:rPr>
      </w:pPr>
      <w:r>
        <w:rPr>
          <w:lang w:val="en-GB"/>
        </w:rPr>
        <w:t xml:space="preserve">A </w:t>
      </w:r>
      <w:r w:rsidR="00B530B1" w:rsidRPr="006218BC">
        <w:rPr>
          <w:lang w:val="en-GB"/>
        </w:rPr>
        <w:t xml:space="preserve">similar situation </w:t>
      </w:r>
      <w:r w:rsidR="00B32DA2">
        <w:rPr>
          <w:lang w:val="en-GB"/>
        </w:rPr>
        <w:t>occurred</w:t>
      </w:r>
      <w:r w:rsidR="00B530B1" w:rsidRPr="006218BC">
        <w:rPr>
          <w:lang w:val="en-GB"/>
        </w:rPr>
        <w:t xml:space="preserve"> in the 1960s within the European Union.</w:t>
      </w:r>
      <w:r w:rsidR="00F90797" w:rsidRPr="006218BC">
        <w:rPr>
          <w:rStyle w:val="Funotenzeichen"/>
          <w:lang w:val="en-GB"/>
        </w:rPr>
        <w:footnoteReference w:id="72"/>
      </w:r>
      <w:r w:rsidR="00B530B1" w:rsidRPr="006218BC">
        <w:rPr>
          <w:lang w:val="en-GB"/>
        </w:rPr>
        <w:t xml:space="preserve"> </w:t>
      </w:r>
      <w:r w:rsidR="00125CF1">
        <w:rPr>
          <w:lang w:val="en-GB"/>
        </w:rPr>
        <w:t xml:space="preserve">Newly </w:t>
      </w:r>
      <w:r w:rsidR="00B530B1" w:rsidRPr="006218BC">
        <w:rPr>
          <w:lang w:val="en-GB"/>
        </w:rPr>
        <w:t>elected</w:t>
      </w:r>
      <w:r w:rsidR="00125CF1">
        <w:rPr>
          <w:lang w:val="en-GB"/>
        </w:rPr>
        <w:t xml:space="preserve"> French</w:t>
      </w:r>
      <w:r w:rsidR="00B530B1" w:rsidRPr="006218BC">
        <w:rPr>
          <w:lang w:val="en-GB"/>
        </w:rPr>
        <w:t xml:space="preserve"> President Charles de Gaulle </w:t>
      </w:r>
      <w:r w:rsidR="00125CF1">
        <w:rPr>
          <w:lang w:val="en-GB"/>
        </w:rPr>
        <w:t>ushered in</w:t>
      </w:r>
      <w:r w:rsidR="00B530B1" w:rsidRPr="006218BC">
        <w:rPr>
          <w:lang w:val="en-GB"/>
        </w:rPr>
        <w:t xml:space="preserve"> new age of European politics. His nationalistic ideology caused arguably the second</w:t>
      </w:r>
      <w:r w:rsidR="00A73423" w:rsidRPr="006218BC">
        <w:rPr>
          <w:rStyle w:val="Funotenzeichen"/>
          <w:lang w:val="en-GB"/>
        </w:rPr>
        <w:footnoteReference w:id="73"/>
      </w:r>
      <w:r w:rsidR="00B530B1" w:rsidRPr="006218BC">
        <w:rPr>
          <w:lang w:val="en-GB"/>
        </w:rPr>
        <w:t xml:space="preserve"> significant bump in the road of the development of the EU. Instead of an enhanced form of </w:t>
      </w:r>
      <w:proofErr w:type="spellStart"/>
      <w:r w:rsidR="00B530B1" w:rsidRPr="006218BC">
        <w:rPr>
          <w:lang w:val="en-GB"/>
        </w:rPr>
        <w:t>supranationalism</w:t>
      </w:r>
      <w:proofErr w:type="spellEnd"/>
      <w:r w:rsidR="00B530B1" w:rsidRPr="006218BC">
        <w:rPr>
          <w:lang w:val="en-GB"/>
        </w:rPr>
        <w:t xml:space="preserve"> within the Union, as propo</w:t>
      </w:r>
      <w:r w:rsidR="00125CF1">
        <w:rPr>
          <w:lang w:val="en-GB"/>
        </w:rPr>
        <w:t>sed by the Commission, d</w:t>
      </w:r>
      <w:r w:rsidR="00B530B1" w:rsidRPr="006218BC">
        <w:rPr>
          <w:lang w:val="en-GB"/>
        </w:rPr>
        <w:t>e Gaulle promoted his own plans, called the “</w:t>
      </w:r>
      <w:proofErr w:type="spellStart"/>
      <w:r w:rsidR="00B530B1" w:rsidRPr="006218BC">
        <w:rPr>
          <w:lang w:val="en-GB"/>
        </w:rPr>
        <w:t>Fouchet</w:t>
      </w:r>
      <w:proofErr w:type="spellEnd"/>
      <w:r w:rsidR="00B530B1" w:rsidRPr="006218BC">
        <w:rPr>
          <w:lang w:val="en-GB"/>
        </w:rPr>
        <w:t xml:space="preserve"> Plan”, in 1961. </w:t>
      </w:r>
      <w:r w:rsidR="00125CF1">
        <w:rPr>
          <w:lang w:val="en-GB"/>
        </w:rPr>
        <w:t>He</w:t>
      </w:r>
      <w:r w:rsidR="00B530B1" w:rsidRPr="006218BC">
        <w:rPr>
          <w:lang w:val="en-GB"/>
        </w:rPr>
        <w:t xml:space="preserve"> feared a loss of French national influence in European politics and consequently expected the </w:t>
      </w:r>
      <w:r w:rsidR="00C031F0" w:rsidRPr="006218BC">
        <w:rPr>
          <w:lang w:val="en-GB"/>
        </w:rPr>
        <w:t>sovereignty</w:t>
      </w:r>
      <w:r w:rsidR="00B530B1" w:rsidRPr="006218BC">
        <w:rPr>
          <w:lang w:val="en-GB"/>
        </w:rPr>
        <w:t xml:space="preserve"> of France to be in danger. His plan </w:t>
      </w:r>
      <w:r w:rsidR="00125CF1">
        <w:rPr>
          <w:lang w:val="en-GB"/>
        </w:rPr>
        <w:t>proposed</w:t>
      </w:r>
      <w:r w:rsidR="00B530B1" w:rsidRPr="006218BC">
        <w:rPr>
          <w:lang w:val="en-GB"/>
        </w:rPr>
        <w:t xml:space="preserve"> that the decision making power should maintain with the national governments instead of further empowering the European institutions.</w:t>
      </w:r>
    </w:p>
    <w:p w14:paraId="2CCA7F2B" w14:textId="77777777" w:rsidR="00125CF1" w:rsidRPr="006218BC" w:rsidRDefault="00125CF1" w:rsidP="00CD3D33">
      <w:pPr>
        <w:spacing w:line="360" w:lineRule="auto"/>
        <w:jc w:val="both"/>
        <w:rPr>
          <w:lang w:val="en-GB"/>
        </w:rPr>
      </w:pPr>
    </w:p>
    <w:p w14:paraId="08E459C5" w14:textId="2DAC55F4" w:rsidR="00B530B1" w:rsidRPr="006218BC" w:rsidRDefault="00B530B1" w:rsidP="00CD3D33">
      <w:pPr>
        <w:spacing w:line="360" w:lineRule="auto"/>
        <w:jc w:val="both"/>
        <w:rPr>
          <w:lang w:val="en-GB"/>
        </w:rPr>
      </w:pPr>
      <w:r w:rsidRPr="006218BC">
        <w:rPr>
          <w:lang w:val="en-GB"/>
        </w:rPr>
        <w:t>France was in a politically powerful position in the early years of European integration. The rejection of the EDC proved that the consent of France is vital for the success of any plan of deeper integration and cannot be taken for granted by its peers.</w:t>
      </w:r>
      <w:r w:rsidR="00F90797" w:rsidRPr="006218BC">
        <w:rPr>
          <w:rStyle w:val="Funotenzeichen"/>
          <w:lang w:val="en-GB"/>
        </w:rPr>
        <w:footnoteReference w:id="74"/>
      </w:r>
      <w:r w:rsidR="00F90797" w:rsidRPr="006218BC">
        <w:rPr>
          <w:lang w:val="en-GB"/>
        </w:rPr>
        <w:t xml:space="preserve"> </w:t>
      </w:r>
      <w:r w:rsidRPr="006218BC">
        <w:rPr>
          <w:lang w:val="en-GB"/>
        </w:rPr>
        <w:t>In the 1960s the initial “readiness of France´s partners to accommodate French needs” as they “continued to fear Drench withdrawal from the Community”</w:t>
      </w:r>
      <w:r w:rsidR="00F90797" w:rsidRPr="006218BC">
        <w:rPr>
          <w:rStyle w:val="Funotenzeichen"/>
          <w:lang w:val="en-GB"/>
        </w:rPr>
        <w:footnoteReference w:id="75"/>
      </w:r>
      <w:r w:rsidRPr="006218BC">
        <w:rPr>
          <w:lang w:val="en-GB"/>
        </w:rPr>
        <w:t xml:space="preserve"> finally </w:t>
      </w:r>
      <w:r w:rsidR="00C031F0" w:rsidRPr="006218BC">
        <w:rPr>
          <w:lang w:val="en-GB"/>
        </w:rPr>
        <w:t>faded</w:t>
      </w:r>
      <w:r w:rsidRPr="006218BC">
        <w:rPr>
          <w:lang w:val="en-GB"/>
        </w:rPr>
        <w:t xml:space="preserve"> and</w:t>
      </w:r>
      <w:r w:rsidR="00F90797" w:rsidRPr="006218BC">
        <w:rPr>
          <w:lang w:val="en-GB"/>
        </w:rPr>
        <w:t xml:space="preserve"> so they</w:t>
      </w:r>
      <w:r w:rsidRPr="006218BC">
        <w:rPr>
          <w:lang w:val="en-GB"/>
        </w:rPr>
        <w:t xml:space="preserve"> dared to challenge the French leading role.</w:t>
      </w:r>
    </w:p>
    <w:p w14:paraId="3B54A2B9" w14:textId="4B8CE621" w:rsidR="00B530B1" w:rsidRPr="006218BC" w:rsidRDefault="00B530B1" w:rsidP="00CD3D33">
      <w:pPr>
        <w:spacing w:line="360" w:lineRule="auto"/>
        <w:jc w:val="both"/>
        <w:rPr>
          <w:lang w:val="en-GB"/>
        </w:rPr>
      </w:pPr>
      <w:r w:rsidRPr="006218BC">
        <w:rPr>
          <w:lang w:val="en-GB"/>
        </w:rPr>
        <w:t xml:space="preserve">Yet still despite consensus within the other Member States against this plan, De Gaulle indeed successfully torpedoed any </w:t>
      </w:r>
      <w:r w:rsidR="00C031F0" w:rsidRPr="006218BC">
        <w:rPr>
          <w:lang w:val="en-GB"/>
        </w:rPr>
        <w:t>progressive</w:t>
      </w:r>
      <w:r w:rsidRPr="006218BC">
        <w:rPr>
          <w:lang w:val="en-GB"/>
        </w:rPr>
        <w:t xml:space="preserve"> legislative action or Treaty reform by ordering French representatives to just not show up at the meetings of the European institutions. This so-called “empty chair crisis” resulted in a permanent lockdown of any progression of the project of European cooperation as De Gaulle boycotted</w:t>
      </w:r>
      <w:r w:rsidR="00F90797" w:rsidRPr="006218BC">
        <w:rPr>
          <w:lang w:val="en-GB"/>
        </w:rPr>
        <w:t xml:space="preserve"> any progress towards a further </w:t>
      </w:r>
      <w:proofErr w:type="spellStart"/>
      <w:r w:rsidRPr="006218BC">
        <w:rPr>
          <w:lang w:val="en-GB"/>
        </w:rPr>
        <w:t>supranationalistic</w:t>
      </w:r>
      <w:proofErr w:type="spellEnd"/>
      <w:r w:rsidRPr="006218BC">
        <w:rPr>
          <w:lang w:val="en-GB"/>
        </w:rPr>
        <w:t xml:space="preserve"> integration. He instead heavily insisted on an intergovernmental solution with the right to veto any proposal for every Member State. In January 1966 this conflict was finally settled by agreeing on the so-called Luxembourg Compromise, which, at least in the eyes of Robert </w:t>
      </w:r>
      <w:proofErr w:type="spellStart"/>
      <w:r w:rsidRPr="006218BC">
        <w:rPr>
          <w:lang w:val="en-GB"/>
        </w:rPr>
        <w:t>Marjolin</w:t>
      </w:r>
      <w:proofErr w:type="spellEnd"/>
      <w:r w:rsidRPr="006218BC">
        <w:rPr>
          <w:lang w:val="en-GB"/>
        </w:rPr>
        <w:t>, confirmed the victory of the Gaullist conception in European integration.</w:t>
      </w:r>
      <w:r w:rsidR="003D220F" w:rsidRPr="006218BC">
        <w:rPr>
          <w:rStyle w:val="Funotenzeichen"/>
          <w:lang w:val="en-GB"/>
        </w:rPr>
        <w:footnoteReference w:id="76"/>
      </w:r>
      <w:r w:rsidR="00A73423" w:rsidRPr="006218BC">
        <w:rPr>
          <w:lang w:val="en-GB"/>
        </w:rPr>
        <w:t xml:space="preserve"> </w:t>
      </w:r>
    </w:p>
    <w:p w14:paraId="38F369FA" w14:textId="77777777" w:rsidR="00B530B1" w:rsidRPr="006218BC" w:rsidRDefault="00B530B1" w:rsidP="00CD3D33">
      <w:pPr>
        <w:spacing w:line="360" w:lineRule="auto"/>
        <w:jc w:val="both"/>
        <w:rPr>
          <w:lang w:val="en-GB"/>
        </w:rPr>
      </w:pPr>
    </w:p>
    <w:p w14:paraId="6D355C55" w14:textId="23AA89D4" w:rsidR="00B530B1" w:rsidRPr="006218BC" w:rsidRDefault="00B530B1" w:rsidP="00CD3D33">
      <w:pPr>
        <w:spacing w:line="360" w:lineRule="auto"/>
        <w:jc w:val="both"/>
        <w:rPr>
          <w:lang w:val="en-GB"/>
        </w:rPr>
      </w:pPr>
      <w:r w:rsidRPr="006218BC">
        <w:rPr>
          <w:lang w:val="en-GB"/>
        </w:rPr>
        <w:t xml:space="preserve">Despite the lack of political consensus within the European legislative actors, the rapidly evolving economic cooperation demanded legal adaption of EU secondary and primary law. </w:t>
      </w:r>
      <w:r w:rsidRPr="006218BC">
        <w:rPr>
          <w:i/>
          <w:lang w:val="en-GB"/>
        </w:rPr>
        <w:t>Costa</w:t>
      </w:r>
      <w:r w:rsidRPr="006218BC">
        <w:rPr>
          <w:lang w:val="en-GB"/>
        </w:rPr>
        <w:t xml:space="preserve"> and </w:t>
      </w:r>
      <w:r w:rsidRPr="006218BC">
        <w:rPr>
          <w:i/>
          <w:lang w:val="en-GB"/>
        </w:rPr>
        <w:t xml:space="preserve">Van </w:t>
      </w:r>
      <w:proofErr w:type="spellStart"/>
      <w:r w:rsidRPr="006218BC">
        <w:rPr>
          <w:i/>
          <w:lang w:val="en-GB"/>
        </w:rPr>
        <w:t>Gend</w:t>
      </w:r>
      <w:proofErr w:type="spellEnd"/>
      <w:r w:rsidRPr="006218BC">
        <w:rPr>
          <w:i/>
          <w:lang w:val="en-GB"/>
        </w:rPr>
        <w:t xml:space="preserve"> </w:t>
      </w:r>
      <w:r w:rsidRPr="006218BC">
        <w:rPr>
          <w:lang w:val="en-GB"/>
        </w:rPr>
        <w:t>marked one way of constitutional evolution of Community law through the case-law of the CJEU.</w:t>
      </w:r>
      <w:r w:rsidR="00F42024" w:rsidRPr="006218BC">
        <w:rPr>
          <w:lang w:val="en-GB"/>
        </w:rPr>
        <w:t xml:space="preserve"> During this period it was the Court of Justice that “stepped it to hold the construct together.”</w:t>
      </w:r>
      <w:r w:rsidR="00F42024" w:rsidRPr="006218BC">
        <w:rPr>
          <w:rStyle w:val="Funotenzeichen"/>
          <w:lang w:val="en-GB"/>
        </w:rPr>
        <w:footnoteReference w:id="77"/>
      </w:r>
    </w:p>
    <w:p w14:paraId="332411C8" w14:textId="77777777" w:rsidR="00B530B1" w:rsidRPr="006218BC" w:rsidRDefault="00B530B1" w:rsidP="00CD3D33">
      <w:pPr>
        <w:spacing w:line="360" w:lineRule="auto"/>
        <w:jc w:val="both"/>
        <w:rPr>
          <w:lang w:val="en-GB"/>
        </w:rPr>
      </w:pPr>
    </w:p>
    <w:p w14:paraId="09CAE486" w14:textId="693EAF7B" w:rsidR="00B530B1" w:rsidRPr="006218BC" w:rsidRDefault="00B530B1" w:rsidP="00CD3D33">
      <w:pPr>
        <w:spacing w:line="360" w:lineRule="auto"/>
        <w:jc w:val="both"/>
        <w:rPr>
          <w:lang w:val="en-GB"/>
        </w:rPr>
      </w:pPr>
      <w:r w:rsidRPr="006218BC">
        <w:rPr>
          <w:lang w:val="en-GB"/>
        </w:rPr>
        <w:t>The lack of political consensus on how the future of European cooperation should look like aided the Court</w:t>
      </w:r>
      <w:r w:rsidR="009B507B">
        <w:rPr>
          <w:lang w:val="en-GB"/>
        </w:rPr>
        <w:t>`</w:t>
      </w:r>
      <w:r w:rsidRPr="006218BC">
        <w:rPr>
          <w:lang w:val="en-GB"/>
        </w:rPr>
        <w:t>s activism in another way: th</w:t>
      </w:r>
      <w:r w:rsidR="00453C86" w:rsidRPr="006218BC">
        <w:rPr>
          <w:lang w:val="en-GB"/>
        </w:rPr>
        <w:t>e lack of effective resistance. There are two ways the legislator can restrict a Court: Changing</w:t>
      </w:r>
      <w:r w:rsidR="00D62485" w:rsidRPr="006218BC">
        <w:rPr>
          <w:lang w:val="en-GB"/>
        </w:rPr>
        <w:t xml:space="preserve"> or </w:t>
      </w:r>
      <w:r w:rsidR="00C031F0" w:rsidRPr="006218BC">
        <w:rPr>
          <w:lang w:val="en-GB"/>
        </w:rPr>
        <w:t>clarifying</w:t>
      </w:r>
      <w:r w:rsidR="00D62485" w:rsidRPr="006218BC">
        <w:rPr>
          <w:lang w:val="en-GB"/>
        </w:rPr>
        <w:t xml:space="preserve"> the law</w:t>
      </w:r>
      <w:r w:rsidR="00453C86" w:rsidRPr="006218BC">
        <w:rPr>
          <w:lang w:val="en-GB"/>
        </w:rPr>
        <w:t xml:space="preserve"> that the Court </w:t>
      </w:r>
      <w:r w:rsidR="00D62485" w:rsidRPr="006218BC">
        <w:rPr>
          <w:lang w:val="en-GB"/>
        </w:rPr>
        <w:t>(</w:t>
      </w:r>
      <w:r w:rsidR="00C031F0" w:rsidRPr="006218BC">
        <w:rPr>
          <w:lang w:val="en-GB"/>
        </w:rPr>
        <w:t>miss</w:t>
      </w:r>
      <w:r w:rsidR="00D62485" w:rsidRPr="006218BC">
        <w:rPr>
          <w:lang w:val="en-GB"/>
        </w:rPr>
        <w:t>)interpreted</w:t>
      </w:r>
      <w:r w:rsidR="00453C86" w:rsidRPr="006218BC">
        <w:rPr>
          <w:lang w:val="en-GB"/>
        </w:rPr>
        <w:t xml:space="preserve"> </w:t>
      </w:r>
      <w:r w:rsidR="00D62485" w:rsidRPr="006218BC">
        <w:rPr>
          <w:lang w:val="en-GB"/>
        </w:rPr>
        <w:t>and/or limit the Courts competences.</w:t>
      </w:r>
    </w:p>
    <w:p w14:paraId="7F2F90AD" w14:textId="77777777" w:rsidR="00D62485" w:rsidRPr="006218BC" w:rsidRDefault="00D62485" w:rsidP="00CD3D33">
      <w:pPr>
        <w:spacing w:line="360" w:lineRule="auto"/>
        <w:jc w:val="both"/>
        <w:rPr>
          <w:lang w:val="en-GB"/>
        </w:rPr>
      </w:pPr>
    </w:p>
    <w:p w14:paraId="55F67920" w14:textId="7BF4360A" w:rsidR="00453C86" w:rsidRPr="006218BC" w:rsidRDefault="00B530B1" w:rsidP="00CD3D33">
      <w:pPr>
        <w:spacing w:line="360" w:lineRule="auto"/>
        <w:jc w:val="both"/>
        <w:rPr>
          <w:lang w:val="en-GB"/>
        </w:rPr>
      </w:pPr>
      <w:r w:rsidRPr="006218BC">
        <w:rPr>
          <w:lang w:val="en-GB"/>
        </w:rPr>
        <w:t>The jurisdiction of the CJEU contains how EU primary and/or secondary law should be interpreted. Member States cannot change the interpretation itself, as this is solely up to the Court to decide. The Member States, alongside the other EU institutions, therefore need to change the law itself, if they want to “correct” EU law</w:t>
      </w:r>
      <w:r w:rsidR="00453C86" w:rsidRPr="006218BC">
        <w:rPr>
          <w:lang w:val="en-GB"/>
        </w:rPr>
        <w:t xml:space="preserve"> and the understanding of it by the Court of Justice</w:t>
      </w:r>
      <w:r w:rsidR="00D62485" w:rsidRPr="006218BC">
        <w:rPr>
          <w:lang w:val="en-GB"/>
        </w:rPr>
        <w:t xml:space="preserve">. </w:t>
      </w:r>
      <w:r w:rsidRPr="006218BC">
        <w:rPr>
          <w:lang w:val="en-GB"/>
        </w:rPr>
        <w:t>The lack of political consensus and the numerous national interests on various aspects of the Courts activism prevented a credible threat to the Courts authority.</w:t>
      </w:r>
      <w:r w:rsidR="00453C86" w:rsidRPr="006218BC">
        <w:rPr>
          <w:rStyle w:val="Funotenzeichen"/>
          <w:lang w:val="en-GB"/>
        </w:rPr>
        <w:footnoteReference w:id="78"/>
      </w:r>
      <w:r w:rsidRPr="006218BC">
        <w:rPr>
          <w:lang w:val="en-GB"/>
        </w:rPr>
        <w:t xml:space="preserve"> Such challenge against any Supreme Court is politically difficult enough, as highest courts traditionally enjoy an inherent legitimacy, which makes their decisions hard </w:t>
      </w:r>
      <w:r w:rsidR="00453C86" w:rsidRPr="006218BC">
        <w:rPr>
          <w:lang w:val="en-GB"/>
        </w:rPr>
        <w:t>to contest</w:t>
      </w:r>
      <w:r w:rsidRPr="006218BC">
        <w:rPr>
          <w:lang w:val="en-GB"/>
        </w:rPr>
        <w:t>.</w:t>
      </w:r>
      <w:r w:rsidR="00CD3D33" w:rsidRPr="006218BC">
        <w:rPr>
          <w:rStyle w:val="Funotenzeichen"/>
          <w:lang w:val="en-GB"/>
        </w:rPr>
        <w:footnoteReference w:id="79"/>
      </w:r>
      <w:r w:rsidRPr="006218BC">
        <w:rPr>
          <w:lang w:val="en-GB"/>
        </w:rPr>
        <w:t xml:space="preserve"> The ambiguous political situation made it virtually impossible.</w:t>
      </w:r>
    </w:p>
    <w:p w14:paraId="4B43B2CF" w14:textId="77777777" w:rsidR="00D62485" w:rsidRPr="006218BC" w:rsidRDefault="00D62485" w:rsidP="00CD3D33">
      <w:pPr>
        <w:spacing w:line="360" w:lineRule="auto"/>
        <w:jc w:val="both"/>
        <w:rPr>
          <w:lang w:val="en-GB"/>
        </w:rPr>
      </w:pPr>
    </w:p>
    <w:p w14:paraId="47ADAB5E" w14:textId="0C8BD3B9" w:rsidR="00B530B1" w:rsidRPr="006218BC" w:rsidRDefault="00B530B1" w:rsidP="00CD3D33">
      <w:pPr>
        <w:spacing w:line="360" w:lineRule="auto"/>
        <w:jc w:val="both"/>
        <w:rPr>
          <w:rFonts w:eastAsia="Times New Roman" w:cs="Times New Roman"/>
          <w:lang w:val="en-GB"/>
        </w:rPr>
      </w:pPr>
      <w:r w:rsidRPr="006218BC">
        <w:rPr>
          <w:lang w:val="en-GB"/>
        </w:rPr>
        <w:t xml:space="preserve">The state of affairs looked even more grimly in regard to an institutional downgrade of the Court itself. Reversing the </w:t>
      </w:r>
      <w:r w:rsidR="00D62485" w:rsidRPr="006218BC">
        <w:rPr>
          <w:lang w:val="en-GB"/>
        </w:rPr>
        <w:t>competences</w:t>
      </w:r>
      <w:r w:rsidRPr="006218BC">
        <w:rPr>
          <w:lang w:val="en-GB"/>
        </w:rPr>
        <w:t xml:space="preserve"> of the CJEU demands a Treaty amendment, which is even harder to reach under EU law. The same applies to reversing the Courts rulings on the interpretation of primary</w:t>
      </w:r>
      <w:r w:rsidR="00D62485" w:rsidRPr="006218BC">
        <w:rPr>
          <w:lang w:val="en-GB"/>
        </w:rPr>
        <w:t xml:space="preserve"> EU</w:t>
      </w:r>
      <w:r w:rsidRPr="006218BC">
        <w:rPr>
          <w:lang w:val="en-GB"/>
        </w:rPr>
        <w:t xml:space="preserve"> law. Especially at that time the small states had </w:t>
      </w:r>
      <w:r w:rsidR="00D62485" w:rsidRPr="006218BC">
        <w:rPr>
          <w:lang w:val="en-GB"/>
        </w:rPr>
        <w:t>a</w:t>
      </w:r>
      <w:r w:rsidRPr="006218BC">
        <w:rPr>
          <w:lang w:val="en-GB"/>
        </w:rPr>
        <w:t xml:space="preserve"> vital interest in a strong CJEU and a strong EU legal system. After a period of French domination it were again the other big Member States Germany and Italy that led the challenge against French leadership in Europe</w:t>
      </w:r>
      <w:r w:rsidR="00453C86" w:rsidRPr="006218BC">
        <w:rPr>
          <w:rStyle w:val="Funotenzeichen"/>
          <w:lang w:val="en-GB"/>
        </w:rPr>
        <w:footnoteReference w:id="80"/>
      </w:r>
      <w:r w:rsidRPr="006218BC">
        <w:rPr>
          <w:lang w:val="en-GB"/>
        </w:rPr>
        <w:t xml:space="preserve"> in front of the CJEU however, “</w:t>
      </w:r>
      <w:r w:rsidRPr="006218BC">
        <w:rPr>
          <w:rFonts w:eastAsia="Times New Roman" w:cs="Times New Roman"/>
          <w:lang w:val="en-GB"/>
        </w:rPr>
        <w:t>political power is equalized, and within“ the CJEU, „small states have disproportionate voice, since each judge has one vote, and decisions are taken by simple majority.“</w:t>
      </w:r>
      <w:r w:rsidR="00453C86" w:rsidRPr="006218BC">
        <w:rPr>
          <w:rStyle w:val="Funotenzeichen"/>
          <w:rFonts w:eastAsia="Times New Roman" w:cs="Times New Roman"/>
          <w:lang w:val="en-GB"/>
        </w:rPr>
        <w:footnoteReference w:id="81"/>
      </w:r>
    </w:p>
    <w:p w14:paraId="53A3CF1A" w14:textId="77777777" w:rsidR="00F90263" w:rsidRPr="006218BC" w:rsidRDefault="00F90263" w:rsidP="00CD3D33">
      <w:pPr>
        <w:spacing w:line="360" w:lineRule="auto"/>
        <w:jc w:val="both"/>
        <w:rPr>
          <w:rFonts w:eastAsia="Times New Roman" w:cs="Times New Roman"/>
          <w:lang w:val="en-GB"/>
        </w:rPr>
      </w:pPr>
    </w:p>
    <w:p w14:paraId="05EAC151" w14:textId="15D05749" w:rsidR="00BF5BD6" w:rsidRPr="008C7313" w:rsidRDefault="00F90263" w:rsidP="00CD3D33">
      <w:pPr>
        <w:spacing w:line="360" w:lineRule="auto"/>
        <w:jc w:val="both"/>
        <w:rPr>
          <w:lang w:val="en-GB"/>
        </w:rPr>
      </w:pPr>
      <w:proofErr w:type="spellStart"/>
      <w:r w:rsidRPr="008C7313">
        <w:rPr>
          <w:lang w:val="en-GB"/>
        </w:rPr>
        <w:t>Weiler</w:t>
      </w:r>
      <w:proofErr w:type="spellEnd"/>
      <w:r w:rsidRPr="008C7313">
        <w:rPr>
          <w:rStyle w:val="Funotenzeichen"/>
          <w:lang w:val="en-GB"/>
        </w:rPr>
        <w:footnoteReference w:id="82"/>
      </w:r>
      <w:r w:rsidRPr="008C7313">
        <w:rPr>
          <w:lang w:val="en-GB"/>
        </w:rPr>
        <w:t xml:space="preserve"> raises an interesting idea arguing that legislative inactivity and judicial activism is an interdependent phenomenon. Not only does legislative deficiency aid judicial activism, but also does judicial activism </w:t>
      </w:r>
      <w:r w:rsidR="009B507B" w:rsidRPr="008C7313">
        <w:rPr>
          <w:lang w:val="en-GB"/>
        </w:rPr>
        <w:t>amplify political discord and sc</w:t>
      </w:r>
      <w:r w:rsidRPr="008C7313">
        <w:rPr>
          <w:lang w:val="en-GB"/>
        </w:rPr>
        <w:t xml:space="preserve">epticism within the legislative branch. Political parties (or, on a federal level, national governments) feel threatened by an active Court challenging their legislative competences. Such atmosphere consequently enhances existing differences and therefore hampers legislative activity. </w:t>
      </w:r>
    </w:p>
    <w:p w14:paraId="4E4D0DDB" w14:textId="382993E2" w:rsidR="00F90263" w:rsidRPr="008C7313" w:rsidRDefault="00BF5BD6" w:rsidP="00CD3D33">
      <w:pPr>
        <w:spacing w:line="360" w:lineRule="auto"/>
        <w:jc w:val="both"/>
        <w:rPr>
          <w:lang w:val="en-GB"/>
        </w:rPr>
      </w:pPr>
      <w:r w:rsidRPr="008C7313">
        <w:rPr>
          <w:lang w:val="en-GB"/>
        </w:rPr>
        <w:t xml:space="preserve">I want to highlight one aspect </w:t>
      </w:r>
      <w:proofErr w:type="spellStart"/>
      <w:r w:rsidRPr="008C7313">
        <w:rPr>
          <w:lang w:val="en-GB"/>
        </w:rPr>
        <w:t>Weiler</w:t>
      </w:r>
      <w:proofErr w:type="spellEnd"/>
      <w:r w:rsidRPr="008C7313">
        <w:rPr>
          <w:lang w:val="en-GB"/>
        </w:rPr>
        <w:t xml:space="preserve"> is not mentioning at that point. </w:t>
      </w:r>
      <w:r w:rsidR="00F90263" w:rsidRPr="008C7313">
        <w:rPr>
          <w:lang w:val="en-GB"/>
        </w:rPr>
        <w:t xml:space="preserve">For his theory to be true, the Court and the </w:t>
      </w:r>
      <w:r w:rsidR="009B507B" w:rsidRPr="008C7313">
        <w:rPr>
          <w:lang w:val="en-GB"/>
        </w:rPr>
        <w:t>judicial system in general need</w:t>
      </w:r>
      <w:r w:rsidR="00F90263" w:rsidRPr="008C7313">
        <w:rPr>
          <w:lang w:val="en-GB"/>
        </w:rPr>
        <w:t xml:space="preserve"> to be effective in implementing its judgments. Such power is usually granted</w:t>
      </w:r>
      <w:r w:rsidR="006D56E6" w:rsidRPr="008C7313">
        <w:rPr>
          <w:lang w:val="en-GB"/>
        </w:rPr>
        <w:t xml:space="preserve"> the Courts by the Constitution. Constitutional Courts, however,, are “uniquely situated to undermine the rule of law … while ultima</w:t>
      </w:r>
      <w:r w:rsidR="009B507B" w:rsidRPr="008C7313">
        <w:rPr>
          <w:lang w:val="en-GB"/>
        </w:rPr>
        <w:t>tely responsible for its fulfil</w:t>
      </w:r>
      <w:r w:rsidR="006D56E6" w:rsidRPr="008C7313">
        <w:rPr>
          <w:lang w:val="en-GB"/>
        </w:rPr>
        <w:t>ment”</w:t>
      </w:r>
      <w:r w:rsidR="00CC696C" w:rsidRPr="008C7313">
        <w:rPr>
          <w:rStyle w:val="Funotenzeichen"/>
          <w:lang w:val="en-GB"/>
        </w:rPr>
        <w:footnoteReference w:id="83"/>
      </w:r>
      <w:r w:rsidR="006D56E6" w:rsidRPr="008C7313">
        <w:rPr>
          <w:lang w:val="en-GB"/>
        </w:rPr>
        <w:t>. Based on considerations regarding the principles of Rule of Law and separation of powers, Cons</w:t>
      </w:r>
      <w:r w:rsidR="009B507B" w:rsidRPr="008C7313">
        <w:rPr>
          <w:lang w:val="en-GB"/>
        </w:rPr>
        <w:t>titutions usually greatly limit</w:t>
      </w:r>
      <w:r w:rsidR="006D56E6" w:rsidRPr="008C7313">
        <w:rPr>
          <w:lang w:val="en-GB"/>
        </w:rPr>
        <w:t xml:space="preserve"> the Constitutional Courts power to enforce its own judgments. </w:t>
      </w:r>
      <w:r w:rsidR="00CC696C" w:rsidRPr="008C7313">
        <w:rPr>
          <w:lang w:val="en-GB"/>
        </w:rPr>
        <w:t xml:space="preserve">Hence are Constitutional Courts heavily dependent on their own authority and acceptance by citizens and government. </w:t>
      </w:r>
    </w:p>
    <w:p w14:paraId="251A7D19" w14:textId="2E1B210A" w:rsidR="0057250D" w:rsidRPr="008C7313" w:rsidRDefault="00CC696C" w:rsidP="0057250D">
      <w:pPr>
        <w:spacing w:line="360" w:lineRule="auto"/>
        <w:rPr>
          <w:lang w:val="en-GB"/>
        </w:rPr>
      </w:pPr>
      <w:r w:rsidRPr="008C7313">
        <w:rPr>
          <w:lang w:val="en-GB"/>
        </w:rPr>
        <w:t>The Court of Justice did not enjoy such high level or long practice of acceptance with</w:t>
      </w:r>
      <w:r w:rsidR="00BF5BD6" w:rsidRPr="008C7313">
        <w:rPr>
          <w:lang w:val="en-GB"/>
        </w:rPr>
        <w:t xml:space="preserve">in the institutional hierarchy at that point in time. Nevertheless it is a </w:t>
      </w:r>
      <w:r w:rsidR="00184D7D" w:rsidRPr="008C7313">
        <w:rPr>
          <w:lang w:val="en-GB"/>
        </w:rPr>
        <w:t>reasonable</w:t>
      </w:r>
      <w:r w:rsidR="00BF5BD6" w:rsidRPr="008C7313">
        <w:rPr>
          <w:lang w:val="en-GB"/>
        </w:rPr>
        <w:t xml:space="preserve"> speculation</w:t>
      </w:r>
      <w:r w:rsidR="00184D7D" w:rsidRPr="008C7313">
        <w:rPr>
          <w:rStyle w:val="Funotenzeichen"/>
          <w:lang w:val="en-GB"/>
        </w:rPr>
        <w:footnoteReference w:id="84"/>
      </w:r>
      <w:r w:rsidR="00BF5BD6" w:rsidRPr="008C7313">
        <w:rPr>
          <w:lang w:val="en-GB"/>
        </w:rPr>
        <w:t xml:space="preserve"> that the rise of nationalistic policies, like under De Gaulle, was at least partly caused </w:t>
      </w:r>
      <w:r w:rsidR="00184D7D" w:rsidRPr="008C7313">
        <w:rPr>
          <w:lang w:val="en-GB"/>
        </w:rPr>
        <w:t>by bold signals from Luxembourg, especially considering that after all the Courts success proved its authority to be respected enough.</w:t>
      </w:r>
      <w:r w:rsidR="0057250D" w:rsidRPr="008C7313">
        <w:rPr>
          <w:lang w:val="en-GB"/>
        </w:rPr>
        <w:t xml:space="preserve"> </w:t>
      </w:r>
    </w:p>
    <w:p w14:paraId="2327DEBD" w14:textId="3822F3E8" w:rsidR="00CC696C" w:rsidRPr="008C7313" w:rsidRDefault="0057250D" w:rsidP="0057250D">
      <w:pPr>
        <w:spacing w:line="360" w:lineRule="auto"/>
        <w:rPr>
          <w:lang w:val="en-GB"/>
        </w:rPr>
      </w:pPr>
      <w:r w:rsidRPr="008C7313">
        <w:rPr>
          <w:lang w:val="en-GB"/>
        </w:rPr>
        <w:t>It was the judiciary that guaranteed the needed progress in EU (constitutional) law at that time. In order to succeed every actor of the EU judicial system had to contribute to this task. Therefore one key aspect for the Courts activism are provisions on how the European Court enforces its judgment through interaction with the National Courts in its preliminary ruling procedure.</w:t>
      </w:r>
    </w:p>
    <w:p w14:paraId="2F89BBAA" w14:textId="77777777" w:rsidR="00B530B1" w:rsidRPr="006218BC" w:rsidRDefault="00B530B1" w:rsidP="00CD3D33">
      <w:pPr>
        <w:spacing w:line="360" w:lineRule="auto"/>
        <w:jc w:val="both"/>
        <w:rPr>
          <w:lang w:val="en-GB"/>
        </w:rPr>
      </w:pPr>
    </w:p>
    <w:p w14:paraId="4B7369A5" w14:textId="3C9405F0" w:rsidR="00C80A66" w:rsidRPr="006218BC" w:rsidRDefault="00B530B1" w:rsidP="00CD3D33">
      <w:pPr>
        <w:pStyle w:val="berschrift2"/>
        <w:jc w:val="both"/>
        <w:rPr>
          <w:lang w:val="en-GB"/>
        </w:rPr>
      </w:pPr>
      <w:bookmarkStart w:id="10" w:name="_Toc311385416"/>
      <w:r w:rsidRPr="006218BC">
        <w:rPr>
          <w:lang w:val="en-GB"/>
        </w:rPr>
        <w:t>The Preliminary Ruling Procedure System and Judicial Activism – Correlation or Causation</w:t>
      </w:r>
      <w:bookmarkEnd w:id="10"/>
    </w:p>
    <w:p w14:paraId="12D76442" w14:textId="77777777" w:rsidR="00B530B1" w:rsidRPr="006218BC" w:rsidRDefault="00B530B1" w:rsidP="00CD3D33">
      <w:pPr>
        <w:spacing w:line="360" w:lineRule="auto"/>
        <w:jc w:val="both"/>
        <w:rPr>
          <w:lang w:val="en-GB"/>
        </w:rPr>
      </w:pPr>
    </w:p>
    <w:p w14:paraId="797408B0" w14:textId="30F2632F" w:rsidR="001F262C" w:rsidRPr="006218BC" w:rsidRDefault="00C80A66" w:rsidP="00CD3D33">
      <w:pPr>
        <w:spacing w:line="360" w:lineRule="auto"/>
        <w:jc w:val="both"/>
        <w:rPr>
          <w:lang w:val="en-GB"/>
        </w:rPr>
      </w:pPr>
      <w:r w:rsidRPr="006218BC">
        <w:rPr>
          <w:lang w:val="en-GB"/>
        </w:rPr>
        <w:t xml:space="preserve">At first it is noticeable that most of the Courts </w:t>
      </w:r>
      <w:r w:rsidR="00C031F0" w:rsidRPr="006218BC">
        <w:rPr>
          <w:lang w:val="en-GB"/>
        </w:rPr>
        <w:t>ground</w:t>
      </w:r>
      <w:r w:rsidR="009B507B">
        <w:rPr>
          <w:lang w:val="en-GB"/>
        </w:rPr>
        <w:t>-</w:t>
      </w:r>
      <w:r w:rsidR="00C031F0" w:rsidRPr="006218BC">
        <w:rPr>
          <w:lang w:val="en-GB"/>
        </w:rPr>
        <w:t>breaking</w:t>
      </w:r>
      <w:r w:rsidRPr="006218BC">
        <w:rPr>
          <w:lang w:val="en-GB"/>
        </w:rPr>
        <w:t xml:space="preserve"> landmark-decisions took place through the preliminary ruling procedure. The procedure has been “pivotal to EU legal integration” as it set</w:t>
      </w:r>
      <w:r w:rsidR="009B507B">
        <w:rPr>
          <w:lang w:val="en-GB"/>
        </w:rPr>
        <w:t>s</w:t>
      </w:r>
      <w:r w:rsidRPr="006218BC">
        <w:rPr>
          <w:lang w:val="en-GB"/>
        </w:rPr>
        <w:t xml:space="preserve"> “an historical record of legal integration.”</w:t>
      </w:r>
      <w:r w:rsidR="00C05E11" w:rsidRPr="006218BC">
        <w:rPr>
          <w:rStyle w:val="Funotenzeichen"/>
          <w:lang w:val="en-GB"/>
        </w:rPr>
        <w:footnoteReference w:id="85"/>
      </w:r>
      <w:r w:rsidR="00293D38">
        <w:rPr>
          <w:lang w:val="en-GB"/>
        </w:rPr>
        <w:t xml:space="preserve"> </w:t>
      </w:r>
      <w:r w:rsidR="00293D38" w:rsidRPr="00293D38">
        <w:rPr>
          <w:i/>
          <w:lang w:val="en-GB"/>
        </w:rPr>
        <w:t>Costa</w:t>
      </w:r>
      <w:r w:rsidR="00293D38">
        <w:rPr>
          <w:lang w:val="en-GB"/>
        </w:rPr>
        <w:t xml:space="preserve"> is </w:t>
      </w:r>
      <w:r w:rsidR="00293D38" w:rsidRPr="006218BC">
        <w:rPr>
          <w:lang w:val="en-GB"/>
        </w:rPr>
        <w:t xml:space="preserve">an early and </w:t>
      </w:r>
      <w:r w:rsidR="00293D38">
        <w:rPr>
          <w:lang w:val="en-GB"/>
        </w:rPr>
        <w:t xml:space="preserve">salient example of </w:t>
      </w:r>
      <w:r w:rsidR="00293D38" w:rsidRPr="006218BC">
        <w:rPr>
          <w:lang w:val="en-GB"/>
        </w:rPr>
        <w:t xml:space="preserve">national courts </w:t>
      </w:r>
      <w:r w:rsidR="00293D38">
        <w:rPr>
          <w:lang w:val="en-GB"/>
        </w:rPr>
        <w:t>having</w:t>
      </w:r>
      <w:r w:rsidR="00293D38" w:rsidRPr="006218BC">
        <w:rPr>
          <w:lang w:val="en-GB"/>
        </w:rPr>
        <w:t xml:space="preserve"> such a strong position in the preliminary ruling procedure.</w:t>
      </w:r>
      <w:r w:rsidR="00293D38" w:rsidRPr="006218BC">
        <w:rPr>
          <w:rStyle w:val="Funotenzeichen"/>
          <w:lang w:val="en-GB"/>
        </w:rPr>
        <w:footnoteReference w:id="86"/>
      </w:r>
      <w:r w:rsidR="00293D38" w:rsidRPr="006218BC">
        <w:rPr>
          <w:lang w:val="en-GB"/>
        </w:rPr>
        <w:t xml:space="preserve"> Which questions they ask (and which questions they do not ask) can greatly influence t</w:t>
      </w:r>
      <w:r w:rsidR="00293D38">
        <w:rPr>
          <w:lang w:val="en-GB"/>
        </w:rPr>
        <w:t>he ruling and impact of the CJEU.</w:t>
      </w:r>
      <w:r w:rsidRPr="006218BC">
        <w:rPr>
          <w:lang w:val="en-GB"/>
        </w:rPr>
        <w:t xml:space="preserve"> There are two explanations for this fact.</w:t>
      </w:r>
      <w:r w:rsidR="00293D38" w:rsidRPr="00293D38">
        <w:rPr>
          <w:lang w:val="en-GB"/>
        </w:rPr>
        <w:t xml:space="preserve"> </w:t>
      </w:r>
    </w:p>
    <w:p w14:paraId="4B5264E7" w14:textId="6A30BD90" w:rsidR="001F262C" w:rsidRPr="006218BC" w:rsidRDefault="001F262C" w:rsidP="00CD3D33">
      <w:pPr>
        <w:pStyle w:val="berschrift3"/>
        <w:jc w:val="both"/>
        <w:rPr>
          <w:lang w:val="en-GB"/>
        </w:rPr>
      </w:pPr>
      <w:bookmarkStart w:id="11" w:name="_Toc311385417"/>
      <w:r w:rsidRPr="006218BC">
        <w:rPr>
          <w:lang w:val="en-GB"/>
        </w:rPr>
        <w:t>The Quantitative Dimension</w:t>
      </w:r>
      <w:bookmarkEnd w:id="11"/>
    </w:p>
    <w:p w14:paraId="737E3208" w14:textId="77777777" w:rsidR="001F262C" w:rsidRPr="006218BC" w:rsidRDefault="001F262C" w:rsidP="00CD3D33">
      <w:pPr>
        <w:spacing w:line="360" w:lineRule="auto"/>
        <w:jc w:val="both"/>
        <w:rPr>
          <w:lang w:val="en-GB"/>
        </w:rPr>
      </w:pPr>
    </w:p>
    <w:p w14:paraId="6AE532F3" w14:textId="5DD3E008" w:rsidR="001F262C" w:rsidRPr="006218BC" w:rsidRDefault="00C80A66" w:rsidP="00CD3D33">
      <w:pPr>
        <w:spacing w:line="360" w:lineRule="auto"/>
        <w:jc w:val="both"/>
        <w:rPr>
          <w:lang w:val="en-GB"/>
        </w:rPr>
      </w:pPr>
      <w:r w:rsidRPr="006218BC">
        <w:rPr>
          <w:lang w:val="en-GB"/>
        </w:rPr>
        <w:t>Firstly, it is quantitatively reasonable, as the vast majority of the Court</w:t>
      </w:r>
      <w:r w:rsidR="009B507B">
        <w:rPr>
          <w:lang w:val="en-GB"/>
        </w:rPr>
        <w:t>`</w:t>
      </w:r>
      <w:r w:rsidRPr="006218BC">
        <w:rPr>
          <w:lang w:val="en-GB"/>
        </w:rPr>
        <w:t>s cases come to it through the preliminary ruling procedure. In 2012 64 per cent of the Courts cases were preliminary references</w:t>
      </w:r>
      <w:r w:rsidR="00C05E11" w:rsidRPr="006218BC">
        <w:rPr>
          <w:lang w:val="en-GB"/>
        </w:rPr>
        <w:t>.</w:t>
      </w:r>
      <w:r w:rsidR="00C05E11" w:rsidRPr="006218BC">
        <w:rPr>
          <w:rStyle w:val="Funotenzeichen"/>
          <w:lang w:val="en-GB"/>
        </w:rPr>
        <w:footnoteReference w:id="87"/>
      </w:r>
      <w:r w:rsidRPr="006218BC">
        <w:rPr>
          <w:lang w:val="en-GB"/>
        </w:rPr>
        <w:t xml:space="preserve"> </w:t>
      </w:r>
      <w:r w:rsidR="00C05E11" w:rsidRPr="006218BC">
        <w:rPr>
          <w:lang w:val="en-GB"/>
        </w:rPr>
        <w:t xml:space="preserve"> </w:t>
      </w:r>
      <w:r w:rsidRPr="006218BC">
        <w:rPr>
          <w:lang w:val="en-GB"/>
        </w:rPr>
        <w:t>Therefore also most landmark-cases statistically should originate in preliminary references.</w:t>
      </w:r>
    </w:p>
    <w:p w14:paraId="3EEFFB02" w14:textId="3B6E4E32" w:rsidR="001F262C" w:rsidRPr="006218BC" w:rsidRDefault="001F262C" w:rsidP="00CD3D33">
      <w:pPr>
        <w:pStyle w:val="berschrift3"/>
        <w:jc w:val="both"/>
        <w:rPr>
          <w:lang w:val="en-GB"/>
        </w:rPr>
      </w:pPr>
      <w:bookmarkStart w:id="12" w:name="_Toc311385418"/>
      <w:r w:rsidRPr="006218BC">
        <w:rPr>
          <w:lang w:val="en-GB"/>
        </w:rPr>
        <w:t>The Qualitative Dimension</w:t>
      </w:r>
      <w:bookmarkEnd w:id="12"/>
    </w:p>
    <w:p w14:paraId="11BAB87F" w14:textId="77777777" w:rsidR="001F262C" w:rsidRPr="006218BC" w:rsidRDefault="001F262C" w:rsidP="00CD3D33">
      <w:pPr>
        <w:jc w:val="both"/>
        <w:rPr>
          <w:lang w:val="en-GB"/>
        </w:rPr>
      </w:pPr>
    </w:p>
    <w:p w14:paraId="53EB2C28" w14:textId="0994CB4A" w:rsidR="00C80A66" w:rsidRPr="006218BC" w:rsidRDefault="00C80A66" w:rsidP="00CD3D33">
      <w:pPr>
        <w:spacing w:line="360" w:lineRule="auto"/>
        <w:jc w:val="both"/>
        <w:rPr>
          <w:lang w:val="en-GB"/>
        </w:rPr>
      </w:pPr>
      <w:r w:rsidRPr="006218BC">
        <w:rPr>
          <w:lang w:val="en-GB"/>
        </w:rPr>
        <w:t xml:space="preserve">Secondly, and more interestingly, there might be a qualitative aspect as well. The preliminary ruling procedure system enshrined in Article 267 TFEU tends toward </w:t>
      </w:r>
      <w:r w:rsidR="00D729EB" w:rsidRPr="006218BC">
        <w:rPr>
          <w:color w:val="1F497D" w:themeColor="text2"/>
          <w:lang w:val="en-GB"/>
        </w:rPr>
        <w:t>policy-</w:t>
      </w:r>
      <w:r w:rsidRPr="006218BC">
        <w:rPr>
          <w:color w:val="1F497D" w:themeColor="text2"/>
          <w:lang w:val="en-GB"/>
        </w:rPr>
        <w:t>making</w:t>
      </w:r>
      <w:r w:rsidRPr="006218BC">
        <w:rPr>
          <w:i/>
          <w:lang w:val="en-GB"/>
        </w:rPr>
        <w:t xml:space="preserve"> </w:t>
      </w:r>
      <w:r w:rsidRPr="006218BC">
        <w:rPr>
          <w:lang w:val="en-GB"/>
        </w:rPr>
        <w:t>judgments.</w:t>
      </w:r>
    </w:p>
    <w:p w14:paraId="0009DA38" w14:textId="77777777" w:rsidR="00C80A66" w:rsidRPr="006218BC" w:rsidRDefault="00C80A66" w:rsidP="00CD3D33">
      <w:pPr>
        <w:spacing w:line="360" w:lineRule="auto"/>
        <w:jc w:val="both"/>
        <w:rPr>
          <w:lang w:val="en-GB"/>
        </w:rPr>
      </w:pPr>
    </w:p>
    <w:p w14:paraId="15054819" w14:textId="24468A92" w:rsidR="00C80A66" w:rsidRPr="006218BC" w:rsidRDefault="00C80A66" w:rsidP="00CD3D33">
      <w:pPr>
        <w:spacing w:line="360" w:lineRule="auto"/>
        <w:jc w:val="both"/>
        <w:rPr>
          <w:lang w:val="en-GB"/>
        </w:rPr>
      </w:pPr>
      <w:r w:rsidRPr="006218BC">
        <w:rPr>
          <w:lang w:val="en-GB"/>
        </w:rPr>
        <w:t>The decision of when und what to refer to the CJEU is “heavily in the control of Member States”</w:t>
      </w:r>
      <w:r w:rsidR="00C05E11" w:rsidRPr="006218BC">
        <w:rPr>
          <w:rStyle w:val="Funotenzeichen"/>
          <w:lang w:val="en-GB"/>
        </w:rPr>
        <w:footnoteReference w:id="88"/>
      </w:r>
      <w:r w:rsidRPr="006218BC">
        <w:rPr>
          <w:lang w:val="en-GB"/>
        </w:rPr>
        <w:t xml:space="preserve"> or, more precisely, the national courts, as it “depends entirely on the national court´s </w:t>
      </w:r>
      <w:proofErr w:type="spellStart"/>
      <w:r w:rsidRPr="006218BC">
        <w:rPr>
          <w:lang w:val="en-GB"/>
        </w:rPr>
        <w:t>assement</w:t>
      </w:r>
      <w:proofErr w:type="spellEnd"/>
      <w:r w:rsidRPr="006218BC">
        <w:rPr>
          <w:lang w:val="en-GB"/>
        </w:rPr>
        <w:t>”</w:t>
      </w:r>
      <w:r w:rsidR="00732451" w:rsidRPr="006218BC">
        <w:rPr>
          <w:rStyle w:val="Funotenzeichen"/>
          <w:lang w:val="en-GB"/>
        </w:rPr>
        <w:footnoteReference w:id="89"/>
      </w:r>
      <w:r w:rsidR="00B91358" w:rsidRPr="006218BC">
        <w:rPr>
          <w:lang w:val="en-GB"/>
        </w:rPr>
        <w:t xml:space="preserve">, with the exception on highest national courts, which are obliged to refer the matter to Luxembourg. </w:t>
      </w:r>
      <w:r w:rsidRPr="006218BC">
        <w:rPr>
          <w:lang w:val="en-GB"/>
        </w:rPr>
        <w:t>The impact of the exclusive power to decide what to ask and therefore what not to ask as well as how to formulate the question, is already pointed out above</w:t>
      </w:r>
      <w:r w:rsidR="009B507B">
        <w:rPr>
          <w:lang w:val="en-GB"/>
        </w:rPr>
        <w:t>,</w:t>
      </w:r>
      <w:r w:rsidRPr="006218BC">
        <w:rPr>
          <w:lang w:val="en-GB"/>
        </w:rPr>
        <w:t xml:space="preserve"> in regard to </w:t>
      </w:r>
      <w:r w:rsidRPr="006218BC">
        <w:rPr>
          <w:i/>
          <w:lang w:val="en-GB"/>
        </w:rPr>
        <w:t>Costa</w:t>
      </w:r>
      <w:r w:rsidRPr="006218BC">
        <w:rPr>
          <w:lang w:val="en-GB"/>
        </w:rPr>
        <w:t>. In order to be able to give influential rulings, the CJEU, consequently, is contingent on the National Courts cooperation.</w:t>
      </w:r>
    </w:p>
    <w:p w14:paraId="6F9FBF37" w14:textId="3FBF2D0B" w:rsidR="00D729EB" w:rsidRPr="006218BC" w:rsidRDefault="00D729EB" w:rsidP="00CD3D33">
      <w:pPr>
        <w:spacing w:line="360" w:lineRule="auto"/>
        <w:jc w:val="both"/>
        <w:rPr>
          <w:lang w:val="en-GB"/>
        </w:rPr>
      </w:pPr>
      <w:r w:rsidRPr="006218BC">
        <w:rPr>
          <w:lang w:val="en-GB"/>
        </w:rPr>
        <w:t>Moreover, by complying with the Courts judgments, the national judges lend their own credibility they – generally speaking – enjoy in their home countries to Luxembourg.</w:t>
      </w:r>
      <w:r w:rsidRPr="006218BC">
        <w:rPr>
          <w:rStyle w:val="Funotenzeichen"/>
          <w:lang w:val="en-GB"/>
        </w:rPr>
        <w:footnoteReference w:id="90"/>
      </w:r>
    </w:p>
    <w:p w14:paraId="06ABB1F1" w14:textId="150CADA5" w:rsidR="00C80A66" w:rsidRPr="006218BC" w:rsidRDefault="00C80A66" w:rsidP="00CD3D33">
      <w:pPr>
        <w:spacing w:line="360" w:lineRule="auto"/>
        <w:jc w:val="both"/>
        <w:rPr>
          <w:lang w:val="en-GB"/>
        </w:rPr>
      </w:pPr>
      <w:r w:rsidRPr="006218BC">
        <w:rPr>
          <w:lang w:val="en-GB"/>
        </w:rPr>
        <w:t>The National Courts however do have their own interests in using preliminary references frequently. Wisely used, the preliminary ruling procedure can help in particular lower courts “to break free from national judicial hierarchies.”</w:t>
      </w:r>
      <w:r w:rsidR="00C05E11" w:rsidRPr="006218BC">
        <w:rPr>
          <w:rStyle w:val="Funotenzeichen"/>
          <w:lang w:val="en-GB"/>
        </w:rPr>
        <w:footnoteReference w:id="91"/>
      </w:r>
      <w:r w:rsidRPr="006218BC">
        <w:rPr>
          <w:lang w:val="en-GB"/>
        </w:rPr>
        <w:t xml:space="preserve"> In Member States that do not know constitutional courts (France, UK), the compatibility review even introduces some “powers of legislative review.”</w:t>
      </w:r>
      <w:r w:rsidR="00C05E11" w:rsidRPr="006218BC">
        <w:rPr>
          <w:rStyle w:val="Funotenzeichen"/>
          <w:lang w:val="en-GB"/>
        </w:rPr>
        <w:footnoteReference w:id="92"/>
      </w:r>
      <w:r w:rsidRPr="006218BC">
        <w:rPr>
          <w:lang w:val="en-GB"/>
        </w:rPr>
        <w:t xml:space="preserve"> Judges of lower courts, who are still in the early stages of their respective careers, tend to use such mechanisms to earn prolific reputation supporting their own claim for promotion.</w:t>
      </w:r>
      <w:r w:rsidR="00C05E11" w:rsidRPr="006218BC">
        <w:rPr>
          <w:lang w:val="en-GB"/>
        </w:rPr>
        <w:t xml:space="preserve"> </w:t>
      </w:r>
      <w:r w:rsidR="00C05E11" w:rsidRPr="006218BC">
        <w:rPr>
          <w:rStyle w:val="Funotenzeichen"/>
          <w:lang w:val="en-GB"/>
        </w:rPr>
        <w:footnoteReference w:id="93"/>
      </w:r>
      <w:r w:rsidRPr="006218BC">
        <w:rPr>
          <w:lang w:val="en-GB"/>
        </w:rPr>
        <w:t xml:space="preserve"> </w:t>
      </w:r>
    </w:p>
    <w:p w14:paraId="03D616EE" w14:textId="77777777" w:rsidR="00C80A66" w:rsidRPr="006218BC" w:rsidRDefault="00C80A66" w:rsidP="00CD3D33">
      <w:pPr>
        <w:spacing w:line="360" w:lineRule="auto"/>
        <w:jc w:val="both"/>
        <w:rPr>
          <w:lang w:val="en-GB"/>
        </w:rPr>
      </w:pPr>
    </w:p>
    <w:p w14:paraId="473A6878" w14:textId="1E629253" w:rsidR="00C80A66" w:rsidRPr="006218BC" w:rsidRDefault="00C80A66" w:rsidP="00CD3D33">
      <w:pPr>
        <w:spacing w:line="360" w:lineRule="auto"/>
        <w:jc w:val="both"/>
        <w:rPr>
          <w:lang w:val="en-GB"/>
        </w:rPr>
      </w:pPr>
      <w:r w:rsidRPr="006218BC">
        <w:rPr>
          <w:lang w:val="en-GB"/>
        </w:rPr>
        <w:t>The Court</w:t>
      </w:r>
      <w:r w:rsidR="009B507B">
        <w:rPr>
          <w:lang w:val="en-GB"/>
        </w:rPr>
        <w:t>`</w:t>
      </w:r>
      <w:r w:rsidRPr="006218BC">
        <w:rPr>
          <w:lang w:val="en-GB"/>
        </w:rPr>
        <w:t>s rulings bind the referring national court.</w:t>
      </w:r>
      <w:r w:rsidR="00732451" w:rsidRPr="006218BC">
        <w:rPr>
          <w:rStyle w:val="Funotenzeichen"/>
          <w:lang w:val="en-GB"/>
        </w:rPr>
        <w:footnoteReference w:id="94"/>
      </w:r>
      <w:r w:rsidR="00732451" w:rsidRPr="006218BC">
        <w:rPr>
          <w:lang w:val="en-GB"/>
        </w:rPr>
        <w:t xml:space="preserve"> </w:t>
      </w:r>
      <w:r w:rsidRPr="006218BC">
        <w:rPr>
          <w:lang w:val="en-GB"/>
        </w:rPr>
        <w:t xml:space="preserve">A study claims that the compliance of National Courts is indeed high, calculating that in 96.3 per cent of the cases studied, the national judge followed the </w:t>
      </w:r>
      <w:r w:rsidR="00B91358" w:rsidRPr="006218BC">
        <w:rPr>
          <w:lang w:val="en-GB"/>
        </w:rPr>
        <w:t>preliminary</w:t>
      </w:r>
      <w:r w:rsidRPr="006218BC">
        <w:rPr>
          <w:lang w:val="en-GB"/>
        </w:rPr>
        <w:t xml:space="preserve"> ruling.</w:t>
      </w:r>
      <w:r w:rsidR="00C05E11" w:rsidRPr="006218BC">
        <w:rPr>
          <w:rStyle w:val="Funotenzeichen"/>
          <w:lang w:val="en-GB"/>
        </w:rPr>
        <w:footnoteReference w:id="95"/>
      </w:r>
      <w:r w:rsidRPr="006218BC">
        <w:rPr>
          <w:lang w:val="en-GB"/>
        </w:rPr>
        <w:t xml:space="preserve"> </w:t>
      </w:r>
    </w:p>
    <w:p w14:paraId="26C69A3B" w14:textId="52757D2D" w:rsidR="00C80A66" w:rsidRPr="006218BC" w:rsidRDefault="00C80A66" w:rsidP="00CD3D33">
      <w:pPr>
        <w:spacing w:line="360" w:lineRule="auto"/>
        <w:jc w:val="both"/>
        <w:rPr>
          <w:lang w:val="en-GB"/>
        </w:rPr>
      </w:pPr>
      <w:r w:rsidRPr="006218BC">
        <w:rPr>
          <w:lang w:val="en-GB"/>
        </w:rPr>
        <w:t>On the one hand the frequent and intense discourses between CJEU and various National Courts help to encourage participation before and compliance after the rulings.</w:t>
      </w:r>
      <w:r w:rsidR="00C05E11" w:rsidRPr="006218BC">
        <w:rPr>
          <w:rStyle w:val="Funotenzeichen"/>
          <w:lang w:val="en-GB"/>
        </w:rPr>
        <w:footnoteReference w:id="96"/>
      </w:r>
    </w:p>
    <w:p w14:paraId="2C179A82" w14:textId="7C8C945E" w:rsidR="00C80A66" w:rsidRPr="006218BC" w:rsidRDefault="00C80A66" w:rsidP="00CD3D33">
      <w:pPr>
        <w:spacing w:line="360" w:lineRule="auto"/>
        <w:jc w:val="both"/>
        <w:rPr>
          <w:lang w:val="en-GB"/>
        </w:rPr>
      </w:pPr>
      <w:r w:rsidRPr="006218BC">
        <w:rPr>
          <w:lang w:val="en-GB"/>
        </w:rPr>
        <w:t>On the other hand</w:t>
      </w:r>
      <w:r w:rsidR="009B507B">
        <w:rPr>
          <w:lang w:val="en-GB"/>
        </w:rPr>
        <w:t>, there</w:t>
      </w:r>
      <w:r w:rsidRPr="006218BC">
        <w:rPr>
          <w:lang w:val="en-GB"/>
        </w:rPr>
        <w:t xml:space="preserve"> is the Courts instrumentally use of teleological interpretation, which is particular</w:t>
      </w:r>
      <w:r w:rsidR="009B507B">
        <w:rPr>
          <w:lang w:val="en-GB"/>
        </w:rPr>
        <w:t>ly</w:t>
      </w:r>
      <w:r w:rsidRPr="006218BC">
        <w:rPr>
          <w:lang w:val="en-GB"/>
        </w:rPr>
        <w:t xml:space="preserve"> typical in preliminary procedure rulings and a main reason why the CJEU is in such “an extremely powerful position”.</w:t>
      </w:r>
      <w:r w:rsidR="00C05E11" w:rsidRPr="006218BC">
        <w:rPr>
          <w:rStyle w:val="Funotenzeichen"/>
          <w:lang w:val="en-GB"/>
        </w:rPr>
        <w:footnoteReference w:id="97"/>
      </w:r>
      <w:r w:rsidRPr="006218BC">
        <w:rPr>
          <w:lang w:val="en-GB"/>
        </w:rPr>
        <w:t xml:space="preserve"> In its daring judgments the Court often refers back to the main purpose of the preliminary ruling procedure: to preserve the unity and effectiveness of EU law.</w:t>
      </w:r>
      <w:r w:rsidR="00732451" w:rsidRPr="006218BC">
        <w:rPr>
          <w:rStyle w:val="Funotenzeichen"/>
          <w:lang w:val="en-GB"/>
        </w:rPr>
        <w:footnoteReference w:id="98"/>
      </w:r>
      <w:r w:rsidRPr="006218BC">
        <w:rPr>
          <w:lang w:val="en-GB"/>
        </w:rPr>
        <w:t xml:space="preserve"> This guarantee requires “an autonomous and uniform interpretation throughout the European Union.”</w:t>
      </w:r>
      <w:r w:rsidR="00732451" w:rsidRPr="006218BC">
        <w:rPr>
          <w:rStyle w:val="Funotenzeichen"/>
          <w:lang w:val="en-GB"/>
        </w:rPr>
        <w:footnoteReference w:id="99"/>
      </w:r>
      <w:r w:rsidRPr="006218BC">
        <w:rPr>
          <w:lang w:val="en-GB"/>
        </w:rPr>
        <w:t xml:space="preserve"> As the CJEU is “the only court which can provide authoritative guidance on the interpretation and validity of EU law”</w:t>
      </w:r>
      <w:r w:rsidR="00C05E11" w:rsidRPr="006218BC">
        <w:rPr>
          <w:rStyle w:val="Funotenzeichen"/>
          <w:lang w:val="en-GB"/>
        </w:rPr>
        <w:footnoteReference w:id="100"/>
      </w:r>
      <w:r w:rsidR="00B91358" w:rsidRPr="006218BC">
        <w:rPr>
          <w:lang w:val="en-GB"/>
        </w:rPr>
        <w:t>, the</w:t>
      </w:r>
      <w:r w:rsidRPr="006218BC">
        <w:rPr>
          <w:lang w:val="en-GB"/>
        </w:rPr>
        <w:t xml:space="preserve"> Court</w:t>
      </w:r>
      <w:r w:rsidR="009B507B">
        <w:rPr>
          <w:lang w:val="en-GB"/>
        </w:rPr>
        <w:t>`</w:t>
      </w:r>
      <w:r w:rsidRPr="006218BC">
        <w:rPr>
          <w:lang w:val="en-GB"/>
        </w:rPr>
        <w:t xml:space="preserve">s decisions usually are widely accepted within the Union. In </w:t>
      </w:r>
      <w:proofErr w:type="spellStart"/>
      <w:r w:rsidRPr="006218BC">
        <w:rPr>
          <w:i/>
          <w:lang w:val="en-GB"/>
        </w:rPr>
        <w:t>Simmenthal</w:t>
      </w:r>
      <w:proofErr w:type="spellEnd"/>
      <w:r w:rsidRPr="006218BC">
        <w:rPr>
          <w:lang w:val="en-GB"/>
        </w:rPr>
        <w:t xml:space="preserve"> the Court argued that without primacy over all national legislation “the very foundations of the Community”</w:t>
      </w:r>
      <w:r w:rsidR="00732451" w:rsidRPr="006218BC">
        <w:rPr>
          <w:rStyle w:val="Funotenzeichen"/>
          <w:lang w:val="en-GB"/>
        </w:rPr>
        <w:footnoteReference w:id="101"/>
      </w:r>
      <w:r w:rsidRPr="006218BC">
        <w:rPr>
          <w:lang w:val="en-GB"/>
        </w:rPr>
        <w:t xml:space="preserve"> would be imperi</w:t>
      </w:r>
      <w:r w:rsidR="009B507B">
        <w:rPr>
          <w:lang w:val="en-GB"/>
        </w:rPr>
        <w:t>l</w:t>
      </w:r>
      <w:r w:rsidRPr="006218BC">
        <w:rPr>
          <w:lang w:val="en-GB"/>
        </w:rPr>
        <w:t xml:space="preserve">led and in </w:t>
      </w:r>
      <w:proofErr w:type="spellStart"/>
      <w:r w:rsidRPr="006218BC">
        <w:rPr>
          <w:i/>
          <w:lang w:val="en-GB"/>
        </w:rPr>
        <w:t>Internationale</w:t>
      </w:r>
      <w:proofErr w:type="spellEnd"/>
      <w:r w:rsidRPr="006218BC">
        <w:rPr>
          <w:i/>
          <w:lang w:val="en-GB"/>
        </w:rPr>
        <w:t xml:space="preserve"> </w:t>
      </w:r>
      <w:proofErr w:type="spellStart"/>
      <w:r w:rsidRPr="006218BC">
        <w:rPr>
          <w:i/>
          <w:lang w:val="en-GB"/>
        </w:rPr>
        <w:t>Handelsgesellschaft</w:t>
      </w:r>
      <w:proofErr w:type="spellEnd"/>
      <w:r w:rsidRPr="006218BC">
        <w:rPr>
          <w:lang w:val="en-GB"/>
        </w:rPr>
        <w:t xml:space="preserve"> he warned that Union law is in danger of “being deprived of its character as Community law … and … the legal basis … itself being in question.”</w:t>
      </w:r>
      <w:r w:rsidR="00732451" w:rsidRPr="006218BC">
        <w:rPr>
          <w:rStyle w:val="Funotenzeichen"/>
          <w:lang w:val="en-GB"/>
        </w:rPr>
        <w:footnoteReference w:id="102"/>
      </w:r>
    </w:p>
    <w:p w14:paraId="208F353C" w14:textId="72C1891A" w:rsidR="00C80A66" w:rsidRPr="006218BC" w:rsidRDefault="00C80A66" w:rsidP="00CD3D33">
      <w:pPr>
        <w:spacing w:line="360" w:lineRule="auto"/>
        <w:jc w:val="both"/>
        <w:rPr>
          <w:lang w:val="en-GB"/>
        </w:rPr>
      </w:pPr>
      <w:r w:rsidRPr="006218BC">
        <w:rPr>
          <w:lang w:val="en-GB"/>
        </w:rPr>
        <w:t>Such “tendency to meta-teleological or broad, system-level purposive interpretation aimed at enhancing integration”</w:t>
      </w:r>
      <w:r w:rsidR="00C05E11" w:rsidRPr="006218BC">
        <w:rPr>
          <w:rStyle w:val="Funotenzeichen"/>
          <w:lang w:val="en-GB"/>
        </w:rPr>
        <w:footnoteReference w:id="103"/>
      </w:r>
      <w:r w:rsidRPr="006218BC">
        <w:rPr>
          <w:lang w:val="en-GB"/>
        </w:rPr>
        <w:t xml:space="preserve"> might partly originate from the very nature of the preliminary ruling procedure. The tendency to legitimate its bold rulings with such radical reservations most definitely puts the Court</w:t>
      </w:r>
      <w:r w:rsidR="009B507B">
        <w:rPr>
          <w:lang w:val="en-GB"/>
        </w:rPr>
        <w:t>`</w:t>
      </w:r>
      <w:r w:rsidRPr="006218BC">
        <w:rPr>
          <w:lang w:val="en-GB"/>
        </w:rPr>
        <w:t xml:space="preserve">s judgments in a “quasi-sacrosanct” position. </w:t>
      </w:r>
      <w:r w:rsidR="008C1104" w:rsidRPr="006218BC">
        <w:rPr>
          <w:lang w:val="en-GB"/>
        </w:rPr>
        <w:t>Some scholars therefore accuse the Court</w:t>
      </w:r>
      <w:r w:rsidR="009B507B">
        <w:rPr>
          <w:lang w:val="en-GB"/>
        </w:rPr>
        <w:t>`</w:t>
      </w:r>
      <w:r w:rsidR="008C1104" w:rsidRPr="006218BC">
        <w:rPr>
          <w:lang w:val="en-GB"/>
        </w:rPr>
        <w:t>s varia</w:t>
      </w:r>
      <w:r w:rsidR="00230264" w:rsidRPr="006218BC">
        <w:rPr>
          <w:lang w:val="en-GB"/>
        </w:rPr>
        <w:t>tion in approach “as strategic”</w:t>
      </w:r>
      <w:r w:rsidR="00230264" w:rsidRPr="006218BC">
        <w:rPr>
          <w:rStyle w:val="Funotenzeichen"/>
          <w:lang w:val="en-GB"/>
        </w:rPr>
        <w:footnoteReference w:id="104"/>
      </w:r>
      <w:r w:rsidR="00230264" w:rsidRPr="006218BC">
        <w:rPr>
          <w:lang w:val="en-GB"/>
        </w:rPr>
        <w:t xml:space="preserve">. </w:t>
      </w:r>
      <w:r w:rsidR="008C1104" w:rsidRPr="006218BC">
        <w:rPr>
          <w:lang w:val="en-GB"/>
        </w:rPr>
        <w:t xml:space="preserve"> </w:t>
      </w:r>
      <w:r w:rsidR="00230264" w:rsidRPr="006218BC">
        <w:rPr>
          <w:lang w:val="en-GB"/>
        </w:rPr>
        <w:t>For example Conway calls the Court out for</w:t>
      </w:r>
      <w:r w:rsidR="008C1104" w:rsidRPr="006218BC">
        <w:rPr>
          <w:lang w:val="en-GB"/>
        </w:rPr>
        <w:t xml:space="preserve"> </w:t>
      </w:r>
      <w:r w:rsidR="009B507B">
        <w:rPr>
          <w:lang w:val="en-GB"/>
        </w:rPr>
        <w:t>focusing its</w:t>
      </w:r>
      <w:r w:rsidR="008C1104" w:rsidRPr="006218BC">
        <w:rPr>
          <w:lang w:val="en-GB"/>
        </w:rPr>
        <w:t xml:space="preserve"> </w:t>
      </w:r>
      <w:r w:rsidR="00230264" w:rsidRPr="006218BC">
        <w:rPr>
          <w:lang w:val="en-GB"/>
        </w:rPr>
        <w:t>“</w:t>
      </w:r>
      <w:r w:rsidR="008C1104" w:rsidRPr="006218BC">
        <w:rPr>
          <w:lang w:val="en-GB"/>
        </w:rPr>
        <w:t>attention on outcome, rather than process.”</w:t>
      </w:r>
      <w:r w:rsidR="008C1104" w:rsidRPr="006218BC">
        <w:rPr>
          <w:rStyle w:val="Funotenzeichen"/>
          <w:lang w:val="en-GB"/>
        </w:rPr>
        <w:footnoteReference w:id="105"/>
      </w:r>
      <w:r w:rsidR="00230264" w:rsidRPr="006218BC">
        <w:rPr>
          <w:lang w:val="en-GB"/>
        </w:rPr>
        <w:t xml:space="preserve"> </w:t>
      </w:r>
      <w:proofErr w:type="spellStart"/>
      <w:r w:rsidR="00230264" w:rsidRPr="006218BC">
        <w:rPr>
          <w:lang w:val="en-GB"/>
        </w:rPr>
        <w:t>Bredimas</w:t>
      </w:r>
      <w:proofErr w:type="spellEnd"/>
      <w:r w:rsidR="00230264" w:rsidRPr="006218BC">
        <w:rPr>
          <w:lang w:val="en-GB"/>
        </w:rPr>
        <w:t xml:space="preserve"> even </w:t>
      </w:r>
      <w:r w:rsidR="00B91358" w:rsidRPr="006218BC">
        <w:rPr>
          <w:lang w:val="en-GB"/>
        </w:rPr>
        <w:t>claims,</w:t>
      </w:r>
      <w:r w:rsidR="009B507B">
        <w:rPr>
          <w:lang w:val="en-GB"/>
        </w:rPr>
        <w:t xml:space="preserve"> </w:t>
      </w:r>
      <w:r w:rsidR="00230264" w:rsidRPr="006218BC">
        <w:rPr>
          <w:lang w:val="en-GB"/>
        </w:rPr>
        <w:t>“the only</w:t>
      </w:r>
      <w:r w:rsidR="008C1104" w:rsidRPr="006218BC">
        <w:rPr>
          <w:lang w:val="en-GB"/>
        </w:rPr>
        <w:t xml:space="preserve"> </w:t>
      </w:r>
      <w:r w:rsidR="00230264" w:rsidRPr="006218BC">
        <w:rPr>
          <w:lang w:val="en-GB"/>
        </w:rPr>
        <w:t>consistent and overriding principle of interpretation, which can be traced throughout the case law, is interpretation promoting European integration.”</w:t>
      </w:r>
      <w:r w:rsidR="00230264" w:rsidRPr="006218BC">
        <w:rPr>
          <w:rStyle w:val="Funotenzeichen"/>
          <w:lang w:val="en-GB"/>
        </w:rPr>
        <w:footnoteReference w:id="106"/>
      </w:r>
    </w:p>
    <w:p w14:paraId="30FA07A1" w14:textId="77777777" w:rsidR="00C80A66" w:rsidRPr="006218BC" w:rsidRDefault="00C80A66" w:rsidP="00CD3D33">
      <w:pPr>
        <w:spacing w:line="360" w:lineRule="auto"/>
        <w:jc w:val="both"/>
        <w:rPr>
          <w:lang w:val="en-GB"/>
        </w:rPr>
      </w:pPr>
    </w:p>
    <w:p w14:paraId="688DF508" w14:textId="1804C314" w:rsidR="001F262C" w:rsidRPr="006218BC" w:rsidRDefault="00C80A66" w:rsidP="00CD3D33">
      <w:pPr>
        <w:spacing w:line="360" w:lineRule="auto"/>
        <w:jc w:val="both"/>
        <w:rPr>
          <w:lang w:val="en-GB"/>
        </w:rPr>
      </w:pPr>
      <w:r w:rsidRPr="006218BC">
        <w:rPr>
          <w:lang w:val="en-GB"/>
        </w:rPr>
        <w:t>The role the system of preliminary ru</w:t>
      </w:r>
      <w:r w:rsidR="009B507B">
        <w:rPr>
          <w:lang w:val="en-GB"/>
        </w:rPr>
        <w:t xml:space="preserve">ling procedure plays in EU law </w:t>
      </w:r>
      <w:r w:rsidR="00B32DA2">
        <w:rPr>
          <w:lang w:val="en-GB"/>
        </w:rPr>
        <w:t>makes Article</w:t>
      </w:r>
      <w:r w:rsidRPr="006218BC">
        <w:rPr>
          <w:lang w:val="en-GB"/>
        </w:rPr>
        <w:t xml:space="preserve"> 267 TFEU the “jewel in the Crown“</w:t>
      </w:r>
      <w:r w:rsidR="00C05E11" w:rsidRPr="006218BC">
        <w:rPr>
          <w:rStyle w:val="Funotenzeichen"/>
          <w:lang w:val="en-GB"/>
        </w:rPr>
        <w:footnoteReference w:id="107"/>
      </w:r>
      <w:r w:rsidR="00C05E11" w:rsidRPr="006218BC">
        <w:rPr>
          <w:lang w:val="en-GB"/>
        </w:rPr>
        <w:t xml:space="preserve"> </w:t>
      </w:r>
      <w:r w:rsidRPr="006218BC">
        <w:rPr>
          <w:lang w:val="en-GB"/>
        </w:rPr>
        <w:t>of the CJEU´s jurisdiction.</w:t>
      </w:r>
      <w:r w:rsidR="001F262C" w:rsidRPr="006218BC">
        <w:rPr>
          <w:lang w:val="en-GB"/>
        </w:rPr>
        <w:br w:type="page"/>
      </w:r>
    </w:p>
    <w:p w14:paraId="16A409F1" w14:textId="3466D88A" w:rsidR="00732451" w:rsidRPr="006218BC" w:rsidRDefault="00732451" w:rsidP="00CD3D33">
      <w:pPr>
        <w:pStyle w:val="berschrift1"/>
        <w:jc w:val="both"/>
        <w:rPr>
          <w:lang w:val="en-GB"/>
        </w:rPr>
      </w:pPr>
      <w:bookmarkStart w:id="13" w:name="_Toc311385419"/>
      <w:r w:rsidRPr="006218BC">
        <w:rPr>
          <w:lang w:val="en-GB"/>
        </w:rPr>
        <w:t>Conclusion</w:t>
      </w:r>
      <w:bookmarkEnd w:id="13"/>
    </w:p>
    <w:p w14:paraId="72F9D5EC" w14:textId="77777777" w:rsidR="00732451" w:rsidRPr="006218BC" w:rsidRDefault="00732451" w:rsidP="00CD3D33">
      <w:pPr>
        <w:spacing w:line="360" w:lineRule="auto"/>
        <w:jc w:val="both"/>
        <w:rPr>
          <w:b/>
          <w:sz w:val="28"/>
          <w:szCs w:val="28"/>
          <w:lang w:val="en-GB"/>
        </w:rPr>
      </w:pPr>
    </w:p>
    <w:p w14:paraId="0AC82B92" w14:textId="77777777" w:rsidR="00F4104A" w:rsidRPr="008C7313" w:rsidRDefault="00D93D0B" w:rsidP="00CD3D33">
      <w:pPr>
        <w:spacing w:line="360" w:lineRule="auto"/>
        <w:jc w:val="both"/>
        <w:rPr>
          <w:lang w:val="en-GB"/>
        </w:rPr>
      </w:pPr>
      <w:r w:rsidRPr="008C7313">
        <w:rPr>
          <w:lang w:val="en-GB"/>
        </w:rPr>
        <w:t xml:space="preserve">The </w:t>
      </w:r>
      <w:r w:rsidR="00732451" w:rsidRPr="008C7313">
        <w:rPr>
          <w:lang w:val="en-GB"/>
        </w:rPr>
        <w:t xml:space="preserve">CJEU has played an integral role in shaping and establishing </w:t>
      </w:r>
      <w:r w:rsidR="00DE7255" w:rsidRPr="008C7313">
        <w:rPr>
          <w:lang w:val="en-GB"/>
        </w:rPr>
        <w:t xml:space="preserve">EU constitutional law. That way the Court has firmly established itself as one </w:t>
      </w:r>
      <w:r w:rsidRPr="008C7313">
        <w:rPr>
          <w:lang w:val="en-GB"/>
        </w:rPr>
        <w:t>of the leading constitutional c</w:t>
      </w:r>
      <w:r w:rsidR="00DE7255" w:rsidRPr="008C7313">
        <w:rPr>
          <w:lang w:val="en-GB"/>
        </w:rPr>
        <w:t xml:space="preserve">ourts in Europe. One </w:t>
      </w:r>
      <w:r w:rsidR="007630A2" w:rsidRPr="008C7313">
        <w:rPr>
          <w:lang w:val="en-GB"/>
        </w:rPr>
        <w:t>tool</w:t>
      </w:r>
      <w:r w:rsidR="00DE7255" w:rsidRPr="008C7313">
        <w:rPr>
          <w:lang w:val="en-GB"/>
        </w:rPr>
        <w:t xml:space="preserve"> the Court instrumentally used in that regard is fundamental rights protection.</w:t>
      </w:r>
      <w:r w:rsidR="00EF0638" w:rsidRPr="008C7313">
        <w:rPr>
          <w:lang w:val="en-GB"/>
        </w:rPr>
        <w:t xml:space="preserve"> </w:t>
      </w:r>
    </w:p>
    <w:p w14:paraId="643C4F7F" w14:textId="77777777" w:rsidR="00282DF2" w:rsidRPr="008C7313" w:rsidRDefault="00282DF2" w:rsidP="00CD3D33">
      <w:pPr>
        <w:spacing w:line="360" w:lineRule="auto"/>
        <w:jc w:val="both"/>
        <w:rPr>
          <w:lang w:val="en-GB"/>
        </w:rPr>
      </w:pPr>
    </w:p>
    <w:p w14:paraId="78C29F3D" w14:textId="2BD9BF49" w:rsidR="00282DF2" w:rsidRPr="008C7313" w:rsidRDefault="00C00863" w:rsidP="00CD3D33">
      <w:pPr>
        <w:spacing w:line="360" w:lineRule="auto"/>
        <w:jc w:val="both"/>
        <w:rPr>
          <w:lang w:val="en-GB"/>
        </w:rPr>
      </w:pPr>
      <w:r w:rsidRPr="008C7313">
        <w:rPr>
          <w:lang w:val="en-GB"/>
        </w:rPr>
        <w:t xml:space="preserve">The first chapter </w:t>
      </w:r>
      <w:r w:rsidR="00282DF2" w:rsidRPr="008C7313">
        <w:rPr>
          <w:lang w:val="en-GB"/>
        </w:rPr>
        <w:t>illustrate</w:t>
      </w:r>
      <w:r w:rsidRPr="008C7313">
        <w:rPr>
          <w:lang w:val="en-GB"/>
        </w:rPr>
        <w:t>s</w:t>
      </w:r>
      <w:r w:rsidR="00282DF2" w:rsidRPr="008C7313">
        <w:rPr>
          <w:lang w:val="en-GB"/>
        </w:rPr>
        <w:t xml:space="preserve"> the evolution of the fundamental rights doctrine in the Court`s </w:t>
      </w:r>
      <w:r w:rsidR="00C0676C" w:rsidRPr="008C7313">
        <w:rPr>
          <w:lang w:val="en-GB"/>
        </w:rPr>
        <w:t xml:space="preserve">case law. </w:t>
      </w:r>
      <w:r w:rsidR="0049081E" w:rsidRPr="008C7313">
        <w:rPr>
          <w:lang w:val="en-GB"/>
        </w:rPr>
        <w:t xml:space="preserve">It shows a linear development of the doctrine, which leads to the conclusion that the Court was determined to position itself as a constitutional court. Moreover the </w:t>
      </w:r>
      <w:r w:rsidR="006512E7" w:rsidRPr="008C7313">
        <w:rPr>
          <w:lang w:val="en-GB"/>
        </w:rPr>
        <w:t>timely</w:t>
      </w:r>
      <w:r w:rsidR="0049081E" w:rsidRPr="008C7313">
        <w:rPr>
          <w:lang w:val="en-GB"/>
        </w:rPr>
        <w:t xml:space="preserve"> reaction to the</w:t>
      </w:r>
      <w:r w:rsidR="006512E7" w:rsidRPr="008C7313">
        <w:rPr>
          <w:lang w:val="en-GB"/>
        </w:rPr>
        <w:t xml:space="preserve"> </w:t>
      </w:r>
      <w:r w:rsidR="0049081E" w:rsidRPr="008C7313">
        <w:rPr>
          <w:lang w:val="en-GB"/>
        </w:rPr>
        <w:t>challenges of national constitutional courts and governments suggests that the Court was aware of the legal and political issu</w:t>
      </w:r>
      <w:r w:rsidR="00223226" w:rsidRPr="008C7313">
        <w:rPr>
          <w:lang w:val="en-GB"/>
        </w:rPr>
        <w:t>es with such judicial activism. The Court did not shy away from controversy, rolled the dice and in the end came out on top</w:t>
      </w:r>
      <w:r w:rsidR="00223226" w:rsidRPr="008C7313">
        <w:rPr>
          <w:rStyle w:val="Funotenzeichen"/>
          <w:lang w:val="en-GB"/>
        </w:rPr>
        <w:footnoteReference w:id="108"/>
      </w:r>
      <w:r w:rsidRPr="008C7313">
        <w:rPr>
          <w:lang w:val="en-GB"/>
        </w:rPr>
        <w:t xml:space="preserve"> of</w:t>
      </w:r>
      <w:r w:rsidR="00223226" w:rsidRPr="008C7313">
        <w:rPr>
          <w:lang w:val="en-GB"/>
        </w:rPr>
        <w:t xml:space="preserve"> the legal order in Europe. </w:t>
      </w:r>
    </w:p>
    <w:p w14:paraId="4AA6F607" w14:textId="77777777" w:rsidR="00F4104A" w:rsidRPr="008C7313" w:rsidRDefault="00F4104A" w:rsidP="00CD3D33">
      <w:pPr>
        <w:spacing w:line="360" w:lineRule="auto"/>
        <w:jc w:val="both"/>
        <w:rPr>
          <w:lang w:val="en-GB"/>
        </w:rPr>
      </w:pPr>
    </w:p>
    <w:p w14:paraId="023F7EF6" w14:textId="31465443" w:rsidR="00F4104A" w:rsidRPr="008C7313" w:rsidRDefault="00F4104A" w:rsidP="00F4104A">
      <w:pPr>
        <w:spacing w:line="360" w:lineRule="auto"/>
        <w:jc w:val="both"/>
        <w:rPr>
          <w:lang w:val="en-GB"/>
        </w:rPr>
      </w:pPr>
      <w:r w:rsidRPr="008C7313">
        <w:rPr>
          <w:lang w:val="en-GB"/>
        </w:rPr>
        <w:t>Europe is well known for its high level of fundamental rights protection on both a national and international level. Most national constitutions implement a comprehensive system of human rights protection. The European Court of Human Rights (</w:t>
      </w:r>
      <w:proofErr w:type="spellStart"/>
      <w:r w:rsidRPr="008C7313">
        <w:rPr>
          <w:lang w:val="en-GB"/>
        </w:rPr>
        <w:t>ECtHR</w:t>
      </w:r>
      <w:proofErr w:type="spellEnd"/>
      <w:r w:rsidRPr="008C7313">
        <w:rPr>
          <w:lang w:val="en-GB"/>
        </w:rPr>
        <w:t xml:space="preserve">) guarantees an additional external revision on grounds of alleged human rights violations. Such highly effective system of enforcement highlights the great level of appreciation regarding the concept </w:t>
      </w:r>
      <w:r w:rsidR="008B2B24" w:rsidRPr="008C7313">
        <w:rPr>
          <w:lang w:val="en-GB"/>
        </w:rPr>
        <w:t>of fundamental rights in Europe</w:t>
      </w:r>
      <w:r w:rsidRPr="008C7313">
        <w:rPr>
          <w:lang w:val="en-GB"/>
        </w:rPr>
        <w:t>. This consensus is the reason why fundamental rights are used as a meta-principle of political morality, not only, but also by the CJEU.</w:t>
      </w:r>
    </w:p>
    <w:p w14:paraId="29341FCE" w14:textId="77777777" w:rsidR="00223226" w:rsidRPr="008C7313" w:rsidRDefault="00223226" w:rsidP="00CD3D33">
      <w:pPr>
        <w:spacing w:line="360" w:lineRule="auto"/>
        <w:jc w:val="both"/>
        <w:rPr>
          <w:lang w:val="en-GB"/>
        </w:rPr>
      </w:pPr>
    </w:p>
    <w:p w14:paraId="42D64F00" w14:textId="1C0071DB" w:rsidR="00804F08" w:rsidRPr="006218BC" w:rsidRDefault="00223226" w:rsidP="00FE469B">
      <w:pPr>
        <w:spacing w:line="360" w:lineRule="auto"/>
        <w:jc w:val="both"/>
        <w:rPr>
          <w:lang w:val="en-GB"/>
        </w:rPr>
      </w:pPr>
      <w:r w:rsidRPr="008C7313">
        <w:rPr>
          <w:lang w:val="en-GB"/>
        </w:rPr>
        <w:t>This marks</w:t>
      </w:r>
      <w:r w:rsidR="00E5619E" w:rsidRPr="008C7313">
        <w:rPr>
          <w:lang w:val="en-GB"/>
        </w:rPr>
        <w:t xml:space="preserve"> a prime example for the political and legal potential of a well orchestrated used fundamental rights doctrine. The Court`s </w:t>
      </w:r>
      <w:r w:rsidR="009C7FC0" w:rsidRPr="008C7313">
        <w:rPr>
          <w:lang w:val="en-GB"/>
        </w:rPr>
        <w:t>activism</w:t>
      </w:r>
      <w:r w:rsidR="00E5619E" w:rsidRPr="008C7313">
        <w:rPr>
          <w:lang w:val="en-GB"/>
        </w:rPr>
        <w:t xml:space="preserve"> has since been </w:t>
      </w:r>
      <w:r w:rsidR="009C7FC0" w:rsidRPr="008C7313">
        <w:rPr>
          <w:lang w:val="en-GB"/>
        </w:rPr>
        <w:t xml:space="preserve">subject </w:t>
      </w:r>
      <w:r w:rsidR="008B2B24" w:rsidRPr="008C7313">
        <w:rPr>
          <w:lang w:val="en-GB"/>
        </w:rPr>
        <w:t>to</w:t>
      </w:r>
      <w:r w:rsidR="009C7FC0" w:rsidRPr="008C7313">
        <w:rPr>
          <w:lang w:val="en-GB"/>
        </w:rPr>
        <w:t xml:space="preserve"> as much</w:t>
      </w:r>
      <w:r w:rsidR="00E5619E" w:rsidRPr="008C7313">
        <w:rPr>
          <w:lang w:val="en-GB"/>
        </w:rPr>
        <w:t xml:space="preserve"> </w:t>
      </w:r>
      <w:r w:rsidR="009C7FC0" w:rsidRPr="008C7313">
        <w:rPr>
          <w:lang w:val="en-GB"/>
        </w:rPr>
        <w:t>heavy criticism as strong support. In the end it is about the personal stance towards judicial activism by constitutional courts in general and the</w:t>
      </w:r>
      <w:r w:rsidR="00D837D0" w:rsidRPr="008C7313">
        <w:rPr>
          <w:lang w:val="en-GB"/>
        </w:rPr>
        <w:t xml:space="preserve"> structurally necessary</w:t>
      </w:r>
      <w:r w:rsidR="009C7FC0" w:rsidRPr="008C7313">
        <w:rPr>
          <w:lang w:val="en-GB"/>
        </w:rPr>
        <w:t xml:space="preserve"> tension between the democratically elected legislation and the by the gove</w:t>
      </w:r>
      <w:r w:rsidR="00D837D0" w:rsidRPr="008C7313">
        <w:rPr>
          <w:lang w:val="en-GB"/>
        </w:rPr>
        <w:t>rnment(s) appointed constitutional court. Such tension is a core element of any institutional structure based on the separation of powers and checks and balances.</w:t>
      </w:r>
      <w:r w:rsidR="00804F08" w:rsidRPr="006218BC">
        <w:rPr>
          <w:lang w:val="en-GB"/>
        </w:rPr>
        <w:br w:type="page"/>
      </w:r>
    </w:p>
    <w:p w14:paraId="4BCAF267" w14:textId="0EB63FD0" w:rsidR="001F262C" w:rsidRPr="006218BC" w:rsidRDefault="001F262C" w:rsidP="00CD3D33">
      <w:pPr>
        <w:pStyle w:val="berschrift1"/>
        <w:jc w:val="both"/>
        <w:rPr>
          <w:lang w:val="en-GB"/>
        </w:rPr>
      </w:pPr>
      <w:bookmarkStart w:id="14" w:name="_Toc311385420"/>
      <w:r w:rsidRPr="006218BC">
        <w:rPr>
          <w:lang w:val="en-GB"/>
        </w:rPr>
        <w:t>Bibliography</w:t>
      </w:r>
      <w:bookmarkEnd w:id="14"/>
    </w:p>
    <w:p w14:paraId="00BAC351" w14:textId="77777777" w:rsidR="001F262C" w:rsidRPr="006218BC" w:rsidRDefault="001F262C" w:rsidP="00CD3D33">
      <w:pPr>
        <w:pStyle w:val="berschrift2"/>
        <w:jc w:val="both"/>
        <w:rPr>
          <w:lang w:val="en-GB"/>
        </w:rPr>
      </w:pPr>
    </w:p>
    <w:p w14:paraId="57A8959E" w14:textId="5827994E" w:rsidR="00804F08" w:rsidRPr="006218BC" w:rsidRDefault="00804F08" w:rsidP="00CD3D33">
      <w:pPr>
        <w:pStyle w:val="berschrift2"/>
        <w:jc w:val="both"/>
        <w:rPr>
          <w:lang w:val="en-GB"/>
        </w:rPr>
      </w:pPr>
      <w:bookmarkStart w:id="15" w:name="_Toc311385421"/>
      <w:r w:rsidRPr="006218BC">
        <w:rPr>
          <w:lang w:val="en-GB"/>
        </w:rPr>
        <w:t>Table of Cases, Case Number Order</w:t>
      </w:r>
      <w:bookmarkEnd w:id="15"/>
    </w:p>
    <w:p w14:paraId="30488F4F" w14:textId="77777777" w:rsidR="00B91358" w:rsidRPr="006218BC" w:rsidRDefault="00B91358" w:rsidP="00CD3D33">
      <w:pPr>
        <w:jc w:val="both"/>
        <w:rPr>
          <w:u w:val="single"/>
          <w:lang w:val="en-GB"/>
        </w:rPr>
      </w:pPr>
    </w:p>
    <w:p w14:paraId="4BB81F61" w14:textId="6F2AE9D8" w:rsidR="00804F08" w:rsidRPr="006218BC" w:rsidRDefault="00804F08" w:rsidP="00CD3D33">
      <w:pPr>
        <w:pStyle w:val="Funotentext"/>
        <w:jc w:val="both"/>
        <w:rPr>
          <w:lang w:val="en-GB"/>
        </w:rPr>
      </w:pPr>
      <w:r w:rsidRPr="006218BC">
        <w:rPr>
          <w:lang w:val="en-GB"/>
        </w:rPr>
        <w:t xml:space="preserve">Cs 26/62 Van </w:t>
      </w:r>
      <w:proofErr w:type="spellStart"/>
      <w:r w:rsidRPr="006218BC">
        <w:rPr>
          <w:lang w:val="en-GB"/>
        </w:rPr>
        <w:t>Gend</w:t>
      </w:r>
      <w:proofErr w:type="spellEnd"/>
      <w:r w:rsidRPr="006218BC">
        <w:rPr>
          <w:lang w:val="en-GB"/>
        </w:rPr>
        <w:t xml:space="preserve"> en Loos v </w:t>
      </w:r>
      <w:proofErr w:type="spellStart"/>
      <w:r w:rsidRPr="006218BC">
        <w:rPr>
          <w:lang w:val="en-GB"/>
        </w:rPr>
        <w:t>Nederlandse</w:t>
      </w:r>
      <w:proofErr w:type="spellEnd"/>
      <w:r w:rsidRPr="006218BC">
        <w:rPr>
          <w:lang w:val="en-GB"/>
        </w:rPr>
        <w:t xml:space="preserve"> </w:t>
      </w:r>
      <w:proofErr w:type="spellStart"/>
      <w:r w:rsidRPr="006218BC">
        <w:rPr>
          <w:lang w:val="en-GB"/>
        </w:rPr>
        <w:t>Administratie</w:t>
      </w:r>
      <w:proofErr w:type="spellEnd"/>
      <w:r w:rsidRPr="006218BC">
        <w:rPr>
          <w:lang w:val="en-GB"/>
        </w:rPr>
        <w:t xml:space="preserve"> der </w:t>
      </w:r>
      <w:proofErr w:type="spellStart"/>
      <w:r w:rsidRPr="006218BC">
        <w:rPr>
          <w:lang w:val="en-GB"/>
        </w:rPr>
        <w:t>Belastingen</w:t>
      </w:r>
      <w:proofErr w:type="spellEnd"/>
      <w:r w:rsidRPr="006218BC">
        <w:rPr>
          <w:lang w:val="en-GB"/>
        </w:rPr>
        <w:t xml:space="preserve"> (1963) ECR</w:t>
      </w:r>
      <w:r w:rsidR="008C7313">
        <w:rPr>
          <w:lang w:val="en-GB"/>
        </w:rPr>
        <w:t>.</w:t>
      </w:r>
    </w:p>
    <w:p w14:paraId="719897EA" w14:textId="77777777" w:rsidR="00804F08" w:rsidRPr="006218BC" w:rsidRDefault="00804F08" w:rsidP="00CD3D33">
      <w:pPr>
        <w:pStyle w:val="Funotentext"/>
        <w:jc w:val="both"/>
        <w:rPr>
          <w:lang w:val="en-GB"/>
        </w:rPr>
      </w:pPr>
      <w:r w:rsidRPr="006218BC">
        <w:rPr>
          <w:lang w:val="en-GB"/>
        </w:rPr>
        <w:t xml:space="preserve">Cs 6/64 </w:t>
      </w:r>
      <w:proofErr w:type="spellStart"/>
      <w:r w:rsidRPr="006218BC">
        <w:rPr>
          <w:lang w:val="en-GB"/>
        </w:rPr>
        <w:t>Flaminio</w:t>
      </w:r>
      <w:proofErr w:type="spellEnd"/>
      <w:r w:rsidRPr="006218BC">
        <w:rPr>
          <w:lang w:val="en-GB"/>
        </w:rPr>
        <w:t xml:space="preserve"> Costa v E.N.E.L. (1964) ECR 585.</w:t>
      </w:r>
    </w:p>
    <w:p w14:paraId="1C3B8952" w14:textId="77777777" w:rsidR="00804F08" w:rsidRPr="006218BC" w:rsidRDefault="00804F08" w:rsidP="00CD3D33">
      <w:pPr>
        <w:pStyle w:val="Funotentext"/>
        <w:jc w:val="both"/>
        <w:rPr>
          <w:lang w:val="en-GB"/>
        </w:rPr>
      </w:pPr>
      <w:r w:rsidRPr="006218BC">
        <w:rPr>
          <w:lang w:val="en-GB"/>
        </w:rPr>
        <w:t xml:space="preserve">Cs 29/69 Erich </w:t>
      </w:r>
      <w:proofErr w:type="spellStart"/>
      <w:r w:rsidRPr="006218BC">
        <w:rPr>
          <w:lang w:val="en-GB"/>
        </w:rPr>
        <w:t>Stauder</w:t>
      </w:r>
      <w:proofErr w:type="spellEnd"/>
      <w:r w:rsidRPr="006218BC">
        <w:rPr>
          <w:lang w:val="en-GB"/>
        </w:rPr>
        <w:t xml:space="preserve"> v City of Ulm – </w:t>
      </w:r>
      <w:proofErr w:type="spellStart"/>
      <w:r w:rsidRPr="006218BC">
        <w:rPr>
          <w:lang w:val="en-GB"/>
        </w:rPr>
        <w:t>Sozialamt</w:t>
      </w:r>
      <w:proofErr w:type="spellEnd"/>
      <w:r w:rsidRPr="006218BC">
        <w:rPr>
          <w:lang w:val="en-GB"/>
        </w:rPr>
        <w:t xml:space="preserve"> (1969) ECR 419.</w:t>
      </w:r>
    </w:p>
    <w:p w14:paraId="330FC38A" w14:textId="5CADDFA4" w:rsidR="00804F08" w:rsidRPr="006218BC" w:rsidRDefault="00804F08" w:rsidP="00CD3D33">
      <w:pPr>
        <w:pStyle w:val="Funotentext"/>
        <w:jc w:val="both"/>
        <w:rPr>
          <w:lang w:val="en-GB"/>
        </w:rPr>
      </w:pPr>
      <w:r w:rsidRPr="006218BC">
        <w:rPr>
          <w:lang w:val="en-GB"/>
        </w:rPr>
        <w:t xml:space="preserve">Cs 11/70 </w:t>
      </w:r>
      <w:proofErr w:type="spellStart"/>
      <w:r w:rsidRPr="006218BC">
        <w:rPr>
          <w:lang w:val="en-GB"/>
        </w:rPr>
        <w:t>Internationale</w:t>
      </w:r>
      <w:proofErr w:type="spellEnd"/>
      <w:r w:rsidR="00B91358" w:rsidRPr="006218BC">
        <w:rPr>
          <w:lang w:val="en-GB"/>
        </w:rPr>
        <w:t xml:space="preserve"> </w:t>
      </w:r>
      <w:proofErr w:type="spellStart"/>
      <w:r w:rsidR="00B91358" w:rsidRPr="006218BC">
        <w:rPr>
          <w:lang w:val="en-GB"/>
        </w:rPr>
        <w:t>Handelsgesellschaft</w:t>
      </w:r>
      <w:proofErr w:type="spellEnd"/>
      <w:r w:rsidR="00B91358" w:rsidRPr="006218BC">
        <w:rPr>
          <w:lang w:val="en-GB"/>
        </w:rPr>
        <w:t xml:space="preserve"> </w:t>
      </w:r>
      <w:proofErr w:type="spellStart"/>
      <w:r w:rsidR="00B91358" w:rsidRPr="006218BC">
        <w:rPr>
          <w:lang w:val="en-GB"/>
        </w:rPr>
        <w:t>mbH</w:t>
      </w:r>
      <w:proofErr w:type="spellEnd"/>
      <w:r w:rsidR="00B91358" w:rsidRPr="006218BC">
        <w:rPr>
          <w:lang w:val="en-GB"/>
        </w:rPr>
        <w:t xml:space="preserve"> v </w:t>
      </w:r>
      <w:proofErr w:type="spellStart"/>
      <w:r w:rsidR="00B91358" w:rsidRPr="006218BC">
        <w:rPr>
          <w:lang w:val="en-GB"/>
        </w:rPr>
        <w:t>Einf</w:t>
      </w:r>
      <w:r w:rsidRPr="006218BC">
        <w:rPr>
          <w:lang w:val="en-GB"/>
        </w:rPr>
        <w:t>uhr</w:t>
      </w:r>
      <w:proofErr w:type="spellEnd"/>
      <w:r w:rsidRPr="006218BC">
        <w:rPr>
          <w:lang w:val="en-GB"/>
        </w:rPr>
        <w:t xml:space="preserve">- und </w:t>
      </w:r>
      <w:proofErr w:type="spellStart"/>
      <w:r w:rsidRPr="006218BC">
        <w:rPr>
          <w:lang w:val="en-GB"/>
        </w:rPr>
        <w:t>Vorratsstelle</w:t>
      </w:r>
      <w:proofErr w:type="spellEnd"/>
      <w:r w:rsidRPr="006218BC">
        <w:rPr>
          <w:lang w:val="en-GB"/>
        </w:rPr>
        <w:t xml:space="preserve"> </w:t>
      </w:r>
      <w:proofErr w:type="spellStart"/>
      <w:r w:rsidRPr="006218BC">
        <w:rPr>
          <w:lang w:val="en-GB"/>
        </w:rPr>
        <w:t>für</w:t>
      </w:r>
      <w:proofErr w:type="spellEnd"/>
      <w:r w:rsidRPr="006218BC">
        <w:rPr>
          <w:lang w:val="en-GB"/>
        </w:rPr>
        <w:t xml:space="preserve"> </w:t>
      </w:r>
      <w:proofErr w:type="spellStart"/>
      <w:r w:rsidRPr="006218BC">
        <w:rPr>
          <w:lang w:val="en-GB"/>
        </w:rPr>
        <w:t>Getr</w:t>
      </w:r>
      <w:r w:rsidR="00091654" w:rsidRPr="006218BC">
        <w:rPr>
          <w:lang w:val="en-GB"/>
        </w:rPr>
        <w:t>eide</w:t>
      </w:r>
      <w:proofErr w:type="spellEnd"/>
      <w:r w:rsidR="00091654" w:rsidRPr="006218BC">
        <w:rPr>
          <w:lang w:val="en-GB"/>
        </w:rPr>
        <w:t xml:space="preserve"> und </w:t>
      </w:r>
      <w:proofErr w:type="spellStart"/>
      <w:r w:rsidR="00091654" w:rsidRPr="006218BC">
        <w:rPr>
          <w:lang w:val="en-GB"/>
        </w:rPr>
        <w:t>Futtermittel</w:t>
      </w:r>
      <w:proofErr w:type="spellEnd"/>
      <w:r w:rsidR="00091654" w:rsidRPr="006218BC">
        <w:rPr>
          <w:lang w:val="en-GB"/>
        </w:rPr>
        <w:t xml:space="preserve"> (1970) ECR</w:t>
      </w:r>
      <w:r w:rsidRPr="006218BC">
        <w:rPr>
          <w:lang w:val="en-GB"/>
        </w:rPr>
        <w:t xml:space="preserve"> 1125.</w:t>
      </w:r>
    </w:p>
    <w:p w14:paraId="7ECD5A2C" w14:textId="77777777" w:rsidR="00804F08" w:rsidRPr="006218BC" w:rsidRDefault="00804F08" w:rsidP="00CD3D33">
      <w:pPr>
        <w:pStyle w:val="Funotentext"/>
        <w:jc w:val="both"/>
        <w:rPr>
          <w:lang w:val="en-GB"/>
        </w:rPr>
      </w:pPr>
      <w:r w:rsidRPr="006218BC">
        <w:rPr>
          <w:lang w:val="en-GB"/>
        </w:rPr>
        <w:t xml:space="preserve">Cs 4/73 </w:t>
      </w:r>
      <w:proofErr w:type="spellStart"/>
      <w:r w:rsidRPr="006218BC">
        <w:rPr>
          <w:lang w:val="en-GB"/>
        </w:rPr>
        <w:t>Nold</w:t>
      </w:r>
      <w:proofErr w:type="spellEnd"/>
      <w:r w:rsidRPr="006218BC">
        <w:rPr>
          <w:lang w:val="en-GB"/>
        </w:rPr>
        <w:t xml:space="preserve"> v European Commission (1974) ECR 491.</w:t>
      </w:r>
    </w:p>
    <w:p w14:paraId="27095068" w14:textId="1837D80E" w:rsidR="00804F08" w:rsidRPr="006218BC" w:rsidRDefault="000D3039" w:rsidP="00CD3D33">
      <w:pPr>
        <w:pStyle w:val="Funotentext"/>
        <w:jc w:val="both"/>
        <w:rPr>
          <w:lang w:val="en-GB"/>
        </w:rPr>
      </w:pPr>
      <w:r w:rsidRPr="006218BC">
        <w:rPr>
          <w:lang w:val="en-GB"/>
        </w:rPr>
        <w:t xml:space="preserve">Cs </w:t>
      </w:r>
      <w:r w:rsidR="00B91358" w:rsidRPr="006218BC">
        <w:rPr>
          <w:lang w:val="en-GB"/>
        </w:rPr>
        <w:t>166/73</w:t>
      </w:r>
      <w:r w:rsidR="00804F08" w:rsidRPr="006218BC">
        <w:rPr>
          <w:lang w:val="en-GB"/>
        </w:rPr>
        <w:t xml:space="preserve"> </w:t>
      </w:r>
      <w:proofErr w:type="spellStart"/>
      <w:r w:rsidR="00804F08" w:rsidRPr="006218BC">
        <w:rPr>
          <w:lang w:val="en-GB"/>
        </w:rPr>
        <w:t>Rheinmuehlen-Duesseldorf</w:t>
      </w:r>
      <w:proofErr w:type="spellEnd"/>
      <w:r w:rsidR="00804F08" w:rsidRPr="006218BC">
        <w:rPr>
          <w:lang w:val="en-GB"/>
        </w:rPr>
        <w:t xml:space="preserve"> v </w:t>
      </w:r>
      <w:proofErr w:type="spellStart"/>
      <w:r w:rsidR="00804F08" w:rsidRPr="006218BC">
        <w:rPr>
          <w:lang w:val="en-GB"/>
        </w:rPr>
        <w:t>Einfuhr</w:t>
      </w:r>
      <w:proofErr w:type="spellEnd"/>
      <w:r w:rsidR="00804F08" w:rsidRPr="006218BC">
        <w:rPr>
          <w:lang w:val="en-GB"/>
        </w:rPr>
        <w:t xml:space="preserve">- und </w:t>
      </w:r>
      <w:proofErr w:type="spellStart"/>
      <w:r w:rsidR="00804F08" w:rsidRPr="006218BC">
        <w:rPr>
          <w:lang w:val="en-GB"/>
        </w:rPr>
        <w:t>Vorratsstelle</w:t>
      </w:r>
      <w:proofErr w:type="spellEnd"/>
      <w:r w:rsidR="00804F08" w:rsidRPr="006218BC">
        <w:rPr>
          <w:lang w:val="en-GB"/>
        </w:rPr>
        <w:t xml:space="preserve"> </w:t>
      </w:r>
      <w:proofErr w:type="spellStart"/>
      <w:r w:rsidR="00804F08" w:rsidRPr="006218BC">
        <w:rPr>
          <w:lang w:val="en-GB"/>
        </w:rPr>
        <w:t>fuer</w:t>
      </w:r>
      <w:proofErr w:type="spellEnd"/>
      <w:r w:rsidR="00804F08" w:rsidRPr="006218BC">
        <w:rPr>
          <w:lang w:val="en-GB"/>
        </w:rPr>
        <w:t xml:space="preserve"> </w:t>
      </w:r>
      <w:proofErr w:type="spellStart"/>
      <w:r w:rsidR="00804F08" w:rsidRPr="006218BC">
        <w:rPr>
          <w:lang w:val="en-GB"/>
        </w:rPr>
        <w:t>Getreide</w:t>
      </w:r>
      <w:proofErr w:type="spellEnd"/>
      <w:r w:rsidR="00804F08" w:rsidRPr="006218BC">
        <w:rPr>
          <w:lang w:val="en-GB"/>
        </w:rPr>
        <w:t xml:space="preserve"> und </w:t>
      </w:r>
      <w:proofErr w:type="spellStart"/>
      <w:r w:rsidR="00804F08" w:rsidRPr="006218BC">
        <w:rPr>
          <w:lang w:val="en-GB"/>
        </w:rPr>
        <w:t>Futtermittel</w:t>
      </w:r>
      <w:proofErr w:type="spellEnd"/>
      <w:r w:rsidR="00804F08" w:rsidRPr="006218BC">
        <w:rPr>
          <w:lang w:val="en-GB"/>
        </w:rPr>
        <w:t xml:space="preserve"> (1974) ECR </w:t>
      </w:r>
      <w:r w:rsidR="00B91358" w:rsidRPr="006218BC">
        <w:rPr>
          <w:lang w:val="en-GB"/>
        </w:rPr>
        <w:t>33</w:t>
      </w:r>
      <w:r w:rsidR="00091654" w:rsidRPr="006218BC">
        <w:rPr>
          <w:lang w:val="en-GB"/>
        </w:rPr>
        <w:t>.</w:t>
      </w:r>
    </w:p>
    <w:p w14:paraId="2B5E7A87" w14:textId="77777777" w:rsidR="00804F08" w:rsidRPr="006218BC" w:rsidRDefault="00804F08" w:rsidP="00CD3D33">
      <w:pPr>
        <w:pStyle w:val="Funotentext"/>
        <w:jc w:val="both"/>
        <w:rPr>
          <w:lang w:val="en-GB"/>
        </w:rPr>
      </w:pPr>
      <w:r w:rsidRPr="006218BC">
        <w:rPr>
          <w:lang w:val="en-GB"/>
        </w:rPr>
        <w:t xml:space="preserve">Cs 36/75 </w:t>
      </w:r>
      <w:proofErr w:type="spellStart"/>
      <w:r w:rsidRPr="006218BC">
        <w:rPr>
          <w:lang w:val="en-GB"/>
        </w:rPr>
        <w:t>Rutili</w:t>
      </w:r>
      <w:proofErr w:type="spellEnd"/>
      <w:r w:rsidRPr="006218BC">
        <w:rPr>
          <w:lang w:val="en-GB"/>
        </w:rPr>
        <w:t xml:space="preserve"> v </w:t>
      </w:r>
      <w:proofErr w:type="spellStart"/>
      <w:r w:rsidRPr="006218BC">
        <w:rPr>
          <w:lang w:val="en-GB"/>
        </w:rPr>
        <w:t>Ministe</w:t>
      </w:r>
      <w:proofErr w:type="spellEnd"/>
      <w:r w:rsidRPr="006218BC">
        <w:rPr>
          <w:lang w:val="en-GB"/>
        </w:rPr>
        <w:t xml:space="preserve"> de </w:t>
      </w:r>
      <w:proofErr w:type="spellStart"/>
      <w:r w:rsidRPr="006218BC">
        <w:rPr>
          <w:lang w:val="en-GB"/>
        </w:rPr>
        <w:t>l´Interieur</w:t>
      </w:r>
      <w:proofErr w:type="spellEnd"/>
      <w:r w:rsidRPr="006218BC">
        <w:rPr>
          <w:lang w:val="en-GB"/>
        </w:rPr>
        <w:t xml:space="preserve"> (1974) ECR 491.</w:t>
      </w:r>
    </w:p>
    <w:p w14:paraId="628F513A" w14:textId="77777777" w:rsidR="00804F08" w:rsidRPr="006218BC" w:rsidRDefault="00804F08" w:rsidP="00CD3D33">
      <w:pPr>
        <w:pStyle w:val="Funotentext"/>
        <w:jc w:val="both"/>
        <w:rPr>
          <w:lang w:val="en-GB"/>
        </w:rPr>
      </w:pPr>
      <w:r w:rsidRPr="006218BC">
        <w:rPr>
          <w:lang w:val="en-GB"/>
        </w:rPr>
        <w:t xml:space="preserve">Cs 52/76 Benedetti v </w:t>
      </w:r>
      <w:proofErr w:type="spellStart"/>
      <w:r w:rsidRPr="006218BC">
        <w:rPr>
          <w:lang w:val="en-GB"/>
        </w:rPr>
        <w:t>Munari</w:t>
      </w:r>
      <w:proofErr w:type="spellEnd"/>
      <w:r w:rsidRPr="006218BC">
        <w:rPr>
          <w:lang w:val="en-GB"/>
        </w:rPr>
        <w:t xml:space="preserve"> (1977) ECR 163.</w:t>
      </w:r>
    </w:p>
    <w:p w14:paraId="2F2C0326" w14:textId="77777777" w:rsidR="00804F08" w:rsidRPr="006218BC" w:rsidRDefault="00804F08" w:rsidP="00CD3D33">
      <w:pPr>
        <w:pStyle w:val="Funotentext"/>
        <w:jc w:val="both"/>
        <w:rPr>
          <w:lang w:val="en-GB"/>
        </w:rPr>
      </w:pPr>
      <w:r w:rsidRPr="006218BC">
        <w:rPr>
          <w:lang w:val="en-GB"/>
        </w:rPr>
        <w:t xml:space="preserve">Cs 106/77 </w:t>
      </w:r>
      <w:proofErr w:type="spellStart"/>
      <w:r w:rsidRPr="006218BC">
        <w:rPr>
          <w:lang w:val="en-GB"/>
        </w:rPr>
        <w:t>Amministrazione</w:t>
      </w:r>
      <w:proofErr w:type="spellEnd"/>
      <w:r w:rsidRPr="006218BC">
        <w:rPr>
          <w:lang w:val="en-GB"/>
        </w:rPr>
        <w:t xml:space="preserve"> </w:t>
      </w:r>
      <w:proofErr w:type="spellStart"/>
      <w:r w:rsidRPr="006218BC">
        <w:rPr>
          <w:lang w:val="en-GB"/>
        </w:rPr>
        <w:t>delle</w:t>
      </w:r>
      <w:proofErr w:type="spellEnd"/>
      <w:r w:rsidRPr="006218BC">
        <w:rPr>
          <w:lang w:val="en-GB"/>
        </w:rPr>
        <w:t xml:space="preserve"> </w:t>
      </w:r>
      <w:proofErr w:type="spellStart"/>
      <w:r w:rsidRPr="006218BC">
        <w:rPr>
          <w:lang w:val="en-GB"/>
        </w:rPr>
        <w:t>Finanze</w:t>
      </w:r>
      <w:proofErr w:type="spellEnd"/>
      <w:r w:rsidRPr="006218BC">
        <w:rPr>
          <w:lang w:val="en-GB"/>
        </w:rPr>
        <w:t xml:space="preserve"> </w:t>
      </w:r>
      <w:proofErr w:type="spellStart"/>
      <w:r w:rsidRPr="006218BC">
        <w:rPr>
          <w:lang w:val="en-GB"/>
        </w:rPr>
        <w:t>dello</w:t>
      </w:r>
      <w:proofErr w:type="spellEnd"/>
      <w:r w:rsidRPr="006218BC">
        <w:rPr>
          <w:lang w:val="en-GB"/>
        </w:rPr>
        <w:t xml:space="preserve"> </w:t>
      </w:r>
      <w:proofErr w:type="spellStart"/>
      <w:r w:rsidRPr="006218BC">
        <w:rPr>
          <w:lang w:val="en-GB"/>
        </w:rPr>
        <w:t>Stato</w:t>
      </w:r>
      <w:proofErr w:type="spellEnd"/>
      <w:r w:rsidRPr="006218BC">
        <w:rPr>
          <w:lang w:val="en-GB"/>
        </w:rPr>
        <w:t xml:space="preserve"> v </w:t>
      </w:r>
      <w:proofErr w:type="spellStart"/>
      <w:r w:rsidRPr="006218BC">
        <w:rPr>
          <w:lang w:val="en-GB"/>
        </w:rPr>
        <w:t>Simmenthal</w:t>
      </w:r>
      <w:proofErr w:type="spellEnd"/>
      <w:r w:rsidRPr="006218BC">
        <w:rPr>
          <w:lang w:val="en-GB"/>
        </w:rPr>
        <w:t xml:space="preserve"> </w:t>
      </w:r>
      <w:proofErr w:type="spellStart"/>
      <w:r w:rsidRPr="006218BC">
        <w:rPr>
          <w:lang w:val="en-GB"/>
        </w:rPr>
        <w:t>SpA</w:t>
      </w:r>
      <w:proofErr w:type="spellEnd"/>
      <w:r w:rsidRPr="006218BC">
        <w:rPr>
          <w:lang w:val="en-GB"/>
        </w:rPr>
        <w:t xml:space="preserve"> (1978) ECR 629.</w:t>
      </w:r>
    </w:p>
    <w:p w14:paraId="4681A3EB" w14:textId="77777777" w:rsidR="00804F08" w:rsidRPr="006218BC" w:rsidRDefault="00804F08" w:rsidP="00CD3D33">
      <w:pPr>
        <w:pStyle w:val="Funotentext"/>
        <w:jc w:val="both"/>
        <w:rPr>
          <w:lang w:val="en-GB"/>
        </w:rPr>
      </w:pPr>
      <w:r w:rsidRPr="006218BC">
        <w:rPr>
          <w:lang w:val="en-GB"/>
        </w:rPr>
        <w:t>Joined Cs 46/87 and 227/88 Hoechst AG v European Commission (1989) ECR 2859.</w:t>
      </w:r>
    </w:p>
    <w:p w14:paraId="04764790" w14:textId="77777777" w:rsidR="00804F08" w:rsidRPr="006218BC" w:rsidRDefault="00804F08" w:rsidP="00CD3D33">
      <w:pPr>
        <w:pStyle w:val="Funotentext"/>
        <w:jc w:val="both"/>
        <w:rPr>
          <w:lang w:val="en-GB"/>
        </w:rPr>
      </w:pPr>
      <w:r w:rsidRPr="006218BC">
        <w:rPr>
          <w:lang w:val="en-GB"/>
        </w:rPr>
        <w:t xml:space="preserve">Cs C-2/06 Willy </w:t>
      </w:r>
      <w:proofErr w:type="spellStart"/>
      <w:r w:rsidRPr="006218BC">
        <w:rPr>
          <w:lang w:val="en-GB"/>
        </w:rPr>
        <w:t>Kempter</w:t>
      </w:r>
      <w:proofErr w:type="spellEnd"/>
      <w:r w:rsidRPr="006218BC">
        <w:rPr>
          <w:lang w:val="en-GB"/>
        </w:rPr>
        <w:t xml:space="preserve"> KG v </w:t>
      </w:r>
      <w:proofErr w:type="spellStart"/>
      <w:r w:rsidRPr="006218BC">
        <w:rPr>
          <w:lang w:val="en-GB"/>
        </w:rPr>
        <w:t>Hauptzollamt</w:t>
      </w:r>
      <w:proofErr w:type="spellEnd"/>
      <w:r w:rsidRPr="006218BC">
        <w:rPr>
          <w:lang w:val="en-GB"/>
        </w:rPr>
        <w:t xml:space="preserve"> Hamburg-Joan (2008) ECR I-411.</w:t>
      </w:r>
    </w:p>
    <w:p w14:paraId="686E876B" w14:textId="4659509B" w:rsidR="00804F08" w:rsidRPr="006218BC" w:rsidRDefault="00804F08" w:rsidP="00CD3D33">
      <w:pPr>
        <w:pStyle w:val="Funotentext"/>
        <w:jc w:val="both"/>
        <w:rPr>
          <w:lang w:val="en-GB"/>
        </w:rPr>
      </w:pPr>
      <w:r w:rsidRPr="006218BC">
        <w:rPr>
          <w:lang w:val="en-GB"/>
        </w:rPr>
        <w:t>Cs C-2</w:t>
      </w:r>
      <w:r w:rsidR="00B91358" w:rsidRPr="006218BC">
        <w:rPr>
          <w:lang w:val="en-GB"/>
        </w:rPr>
        <w:t>81/09 Commission v Spain (2011).</w:t>
      </w:r>
    </w:p>
    <w:p w14:paraId="252C2838" w14:textId="77777777" w:rsidR="000D3039" w:rsidRPr="006218BC" w:rsidRDefault="000D3039" w:rsidP="00CD3D33">
      <w:pPr>
        <w:pStyle w:val="Funotentext"/>
        <w:jc w:val="both"/>
        <w:rPr>
          <w:lang w:val="en-GB"/>
        </w:rPr>
      </w:pPr>
    </w:p>
    <w:p w14:paraId="6A2D80C6" w14:textId="33B9F9AE" w:rsidR="005C402F" w:rsidRPr="006218BC" w:rsidRDefault="005C402F" w:rsidP="00CD3D33">
      <w:pPr>
        <w:pStyle w:val="Funotentext"/>
        <w:jc w:val="both"/>
        <w:rPr>
          <w:lang w:val="en-GB"/>
        </w:rPr>
      </w:pPr>
      <w:proofErr w:type="spellStart"/>
      <w:r w:rsidRPr="006218BC">
        <w:rPr>
          <w:lang w:val="en-GB"/>
        </w:rPr>
        <w:t>BVerfGE</w:t>
      </w:r>
      <w:proofErr w:type="spellEnd"/>
      <w:r w:rsidRPr="006218BC">
        <w:rPr>
          <w:lang w:val="en-GB"/>
        </w:rPr>
        <w:t xml:space="preserve"> 34, 238ff („</w:t>
      </w:r>
      <w:proofErr w:type="spellStart"/>
      <w:r w:rsidRPr="006218BC">
        <w:rPr>
          <w:lang w:val="en-GB"/>
        </w:rPr>
        <w:t>Lüth</w:t>
      </w:r>
      <w:proofErr w:type="spellEnd"/>
      <w:r w:rsidRPr="006218BC">
        <w:rPr>
          <w:lang w:val="en-GB"/>
        </w:rPr>
        <w:t>“).</w:t>
      </w:r>
    </w:p>
    <w:p w14:paraId="2A0FB075" w14:textId="21A30E7A" w:rsidR="000D3039" w:rsidRPr="006218BC" w:rsidRDefault="000D3039" w:rsidP="00CD3D33">
      <w:pPr>
        <w:pStyle w:val="Funotentext"/>
        <w:jc w:val="both"/>
        <w:rPr>
          <w:lang w:val="en-GB"/>
        </w:rPr>
      </w:pPr>
      <w:proofErr w:type="spellStart"/>
      <w:r w:rsidRPr="006218BC">
        <w:rPr>
          <w:lang w:val="en-GB"/>
        </w:rPr>
        <w:t>BVerfGE</w:t>
      </w:r>
      <w:proofErr w:type="spellEnd"/>
      <w:r w:rsidRPr="006218BC">
        <w:rPr>
          <w:lang w:val="en-GB"/>
        </w:rPr>
        <w:t xml:space="preserve"> 37,271ff („</w:t>
      </w:r>
      <w:proofErr w:type="spellStart"/>
      <w:r w:rsidRPr="006218BC">
        <w:rPr>
          <w:lang w:val="en-GB"/>
        </w:rPr>
        <w:t>Solange</w:t>
      </w:r>
      <w:proofErr w:type="spellEnd"/>
      <w:r w:rsidRPr="006218BC">
        <w:rPr>
          <w:lang w:val="en-GB"/>
        </w:rPr>
        <w:t xml:space="preserve"> I“).</w:t>
      </w:r>
    </w:p>
    <w:p w14:paraId="44B0106C" w14:textId="73A525AB" w:rsidR="000D3039" w:rsidRPr="006218BC" w:rsidRDefault="000D3039" w:rsidP="00CD3D33">
      <w:pPr>
        <w:pStyle w:val="Funotentext"/>
        <w:jc w:val="both"/>
        <w:rPr>
          <w:lang w:val="en-GB"/>
        </w:rPr>
      </w:pPr>
      <w:proofErr w:type="spellStart"/>
      <w:r w:rsidRPr="006218BC">
        <w:rPr>
          <w:lang w:val="en-GB"/>
        </w:rPr>
        <w:t>BVerfGE</w:t>
      </w:r>
      <w:proofErr w:type="spellEnd"/>
      <w:r w:rsidRPr="006218BC">
        <w:rPr>
          <w:lang w:val="en-GB"/>
        </w:rPr>
        <w:t xml:space="preserve"> 73, 339 („</w:t>
      </w:r>
      <w:proofErr w:type="spellStart"/>
      <w:r w:rsidRPr="006218BC">
        <w:rPr>
          <w:lang w:val="en-GB"/>
        </w:rPr>
        <w:t>Solange</w:t>
      </w:r>
      <w:proofErr w:type="spellEnd"/>
      <w:r w:rsidRPr="006218BC">
        <w:rPr>
          <w:lang w:val="en-GB"/>
        </w:rPr>
        <w:t xml:space="preserve"> II“).</w:t>
      </w:r>
    </w:p>
    <w:p w14:paraId="461B7574" w14:textId="77777777" w:rsidR="00B91358" w:rsidRPr="006218BC" w:rsidRDefault="00B91358" w:rsidP="00CD3D33">
      <w:pPr>
        <w:pStyle w:val="Funotentext"/>
        <w:jc w:val="both"/>
        <w:rPr>
          <w:lang w:val="en-GB"/>
        </w:rPr>
      </w:pPr>
    </w:p>
    <w:p w14:paraId="115A1D22" w14:textId="02312805" w:rsidR="00804F08" w:rsidRPr="006218BC" w:rsidRDefault="00804F08" w:rsidP="00CD3D33">
      <w:pPr>
        <w:pStyle w:val="berschrift2"/>
        <w:jc w:val="both"/>
        <w:rPr>
          <w:lang w:val="en-GB"/>
        </w:rPr>
      </w:pPr>
      <w:bookmarkStart w:id="16" w:name="_Toc311385422"/>
      <w:r w:rsidRPr="006218BC">
        <w:rPr>
          <w:lang w:val="en-GB"/>
        </w:rPr>
        <w:t>Bibliography, alphabetically</w:t>
      </w:r>
      <w:bookmarkEnd w:id="16"/>
    </w:p>
    <w:p w14:paraId="6AAE91C7" w14:textId="77777777" w:rsidR="00B91358" w:rsidRPr="006218BC" w:rsidRDefault="00B91358" w:rsidP="00CD3D33">
      <w:pPr>
        <w:pStyle w:val="Funotentext"/>
        <w:jc w:val="both"/>
        <w:rPr>
          <w:lang w:val="en-GB"/>
        </w:rPr>
      </w:pPr>
    </w:p>
    <w:p w14:paraId="0B644E28" w14:textId="77777777" w:rsidR="00804F08" w:rsidRPr="006218BC" w:rsidRDefault="00804F08" w:rsidP="00CD3D33">
      <w:pPr>
        <w:jc w:val="both"/>
        <w:rPr>
          <w:lang w:val="en-GB"/>
        </w:rPr>
      </w:pPr>
      <w:r w:rsidRPr="006218BC">
        <w:rPr>
          <w:rFonts w:eastAsia="Times New Roman" w:cs="Times New Roman"/>
          <w:i/>
          <w:lang w:val="en-GB"/>
        </w:rPr>
        <w:t>Alter</w:t>
      </w:r>
      <w:r w:rsidRPr="006218BC">
        <w:rPr>
          <w:rFonts w:eastAsia="Times New Roman" w:cs="Times New Roman"/>
          <w:lang w:val="en-GB"/>
        </w:rPr>
        <w:t>, Establishing the Supremacy of European Law: The Making of an International Rule of Law in Europe,</w:t>
      </w:r>
      <w:r w:rsidRPr="006218BC">
        <w:rPr>
          <w:lang w:val="en-GB"/>
        </w:rPr>
        <w:t xml:space="preserve"> Oxford 2003.</w:t>
      </w:r>
    </w:p>
    <w:p w14:paraId="0D150F74" w14:textId="5808D34E" w:rsidR="00C362BB" w:rsidRPr="006218BC" w:rsidRDefault="00C362BB" w:rsidP="00CD3D33">
      <w:pPr>
        <w:jc w:val="both"/>
        <w:rPr>
          <w:rFonts w:cs="Times New Roman"/>
          <w:lang w:val="en-GB"/>
        </w:rPr>
      </w:pPr>
      <w:r w:rsidRPr="006218BC">
        <w:rPr>
          <w:rFonts w:eastAsia="Times New Roman" w:cs="Times New Roman"/>
          <w:i/>
          <w:lang w:val="en-GB"/>
        </w:rPr>
        <w:t>Alter</w:t>
      </w:r>
      <w:r w:rsidRPr="006218BC">
        <w:rPr>
          <w:rFonts w:eastAsia="Times New Roman" w:cs="Times New Roman"/>
          <w:lang w:val="en-GB"/>
        </w:rPr>
        <w:t>, Who are the “Masters of the Treaty”?: European Governments and the European Court of Justice, Vol. 52 International Organization, 52, p. 121-147.</w:t>
      </w:r>
    </w:p>
    <w:p w14:paraId="308404B6" w14:textId="45F5E75C" w:rsidR="001C7EF0" w:rsidRPr="006218BC" w:rsidRDefault="001C7EF0" w:rsidP="00CD3D33">
      <w:pPr>
        <w:jc w:val="both"/>
        <w:rPr>
          <w:lang w:val="en-GB"/>
        </w:rPr>
      </w:pPr>
      <w:r w:rsidRPr="006218BC">
        <w:rPr>
          <w:i/>
          <w:lang w:val="en-GB"/>
        </w:rPr>
        <w:t>Aziz</w:t>
      </w:r>
      <w:r w:rsidRPr="006218BC">
        <w:rPr>
          <w:lang w:val="en-GB"/>
        </w:rPr>
        <w:t>, The Convention and the „Living Law“ of the European Union, in: Constitutional Politics in the European Union, (</w:t>
      </w:r>
      <w:r w:rsidR="00032367">
        <w:rPr>
          <w:lang w:val="en-GB"/>
        </w:rPr>
        <w:t>ed</w:t>
      </w:r>
      <w:r w:rsidRPr="006218BC">
        <w:rPr>
          <w:lang w:val="en-GB"/>
        </w:rPr>
        <w:t>.) Castiglione et al., Oxford 2007, p. 209-229.</w:t>
      </w:r>
    </w:p>
    <w:p w14:paraId="7A146FBA" w14:textId="4A890E32" w:rsidR="001C7EF0" w:rsidRPr="006218BC" w:rsidRDefault="001C7EF0" w:rsidP="00CD3D33">
      <w:pPr>
        <w:jc w:val="both"/>
        <w:rPr>
          <w:lang w:val="en-GB"/>
        </w:rPr>
      </w:pPr>
      <w:proofErr w:type="spellStart"/>
      <w:r w:rsidRPr="006218BC">
        <w:rPr>
          <w:i/>
          <w:lang w:val="en-GB"/>
        </w:rPr>
        <w:t>Bernitz</w:t>
      </w:r>
      <w:proofErr w:type="spellEnd"/>
      <w:r w:rsidRPr="006218BC">
        <w:rPr>
          <w:i/>
          <w:lang w:val="en-GB"/>
        </w:rPr>
        <w:t xml:space="preserve">/De </w:t>
      </w:r>
      <w:proofErr w:type="spellStart"/>
      <w:r w:rsidRPr="006218BC">
        <w:rPr>
          <w:i/>
          <w:lang w:val="en-GB"/>
        </w:rPr>
        <w:t>Vries</w:t>
      </w:r>
      <w:proofErr w:type="spellEnd"/>
      <w:r w:rsidRPr="006218BC">
        <w:rPr>
          <w:i/>
          <w:lang w:val="en-GB"/>
        </w:rPr>
        <w:t>/</w:t>
      </w:r>
      <w:proofErr w:type="spellStart"/>
      <w:r w:rsidRPr="006218BC">
        <w:rPr>
          <w:i/>
          <w:lang w:val="en-GB"/>
        </w:rPr>
        <w:t>Weatherill</w:t>
      </w:r>
      <w:proofErr w:type="spellEnd"/>
      <w:r w:rsidRPr="006218BC">
        <w:rPr>
          <w:lang w:val="en-GB"/>
        </w:rPr>
        <w:t>, The Protection of Fundamental Rights in the EU After Lisbon, Oxford 2013.</w:t>
      </w:r>
    </w:p>
    <w:p w14:paraId="73C80189" w14:textId="1250CF6B" w:rsidR="00C362BB" w:rsidRPr="006218BC" w:rsidRDefault="00C362BB" w:rsidP="00CD3D33">
      <w:pPr>
        <w:jc w:val="both"/>
        <w:rPr>
          <w:lang w:val="en-GB"/>
        </w:rPr>
      </w:pPr>
      <w:proofErr w:type="spellStart"/>
      <w:r w:rsidRPr="006218BC">
        <w:rPr>
          <w:i/>
          <w:lang w:val="en-GB"/>
        </w:rPr>
        <w:t>Bengoetxea</w:t>
      </w:r>
      <w:proofErr w:type="spellEnd"/>
      <w:r w:rsidRPr="006218BC">
        <w:rPr>
          <w:lang w:val="en-GB"/>
        </w:rPr>
        <w:t>, The Legal Reasoning of the European Court of Justice, Oxford 1993.</w:t>
      </w:r>
    </w:p>
    <w:p w14:paraId="04DD3461" w14:textId="3E9725A0" w:rsidR="00F21E2E" w:rsidRPr="006218BC" w:rsidRDefault="00F21E2E" w:rsidP="00CD3D33">
      <w:pPr>
        <w:spacing w:line="276" w:lineRule="auto"/>
        <w:jc w:val="both"/>
        <w:rPr>
          <w:lang w:val="en-GB"/>
        </w:rPr>
      </w:pPr>
      <w:proofErr w:type="spellStart"/>
      <w:r w:rsidRPr="006218BC">
        <w:rPr>
          <w:i/>
          <w:lang w:val="en-GB"/>
        </w:rPr>
        <w:t>Böckenförde</w:t>
      </w:r>
      <w:proofErr w:type="spellEnd"/>
      <w:r w:rsidRPr="006218BC">
        <w:rPr>
          <w:lang w:val="en-GB"/>
        </w:rPr>
        <w:t xml:space="preserve">, </w:t>
      </w:r>
      <w:proofErr w:type="spellStart"/>
      <w:r w:rsidRPr="006218BC">
        <w:rPr>
          <w:lang w:val="en-GB"/>
        </w:rPr>
        <w:t>Zur</w:t>
      </w:r>
      <w:proofErr w:type="spellEnd"/>
      <w:r w:rsidRPr="006218BC">
        <w:rPr>
          <w:lang w:val="en-GB"/>
        </w:rPr>
        <w:t xml:space="preserve"> </w:t>
      </w:r>
      <w:proofErr w:type="spellStart"/>
      <w:r w:rsidRPr="006218BC">
        <w:rPr>
          <w:lang w:val="en-GB"/>
        </w:rPr>
        <w:t>Lage</w:t>
      </w:r>
      <w:proofErr w:type="spellEnd"/>
      <w:r w:rsidRPr="006218BC">
        <w:rPr>
          <w:lang w:val="en-GB"/>
        </w:rPr>
        <w:t xml:space="preserve"> der </w:t>
      </w:r>
      <w:proofErr w:type="spellStart"/>
      <w:r w:rsidRPr="006218BC">
        <w:rPr>
          <w:lang w:val="en-GB"/>
        </w:rPr>
        <w:t>Grundrechtsdogmatik</w:t>
      </w:r>
      <w:proofErr w:type="spellEnd"/>
      <w:r w:rsidRPr="006218BC">
        <w:rPr>
          <w:lang w:val="en-GB"/>
        </w:rPr>
        <w:t xml:space="preserve"> </w:t>
      </w:r>
      <w:proofErr w:type="spellStart"/>
      <w:r w:rsidRPr="006218BC">
        <w:rPr>
          <w:lang w:val="en-GB"/>
        </w:rPr>
        <w:t>nach</w:t>
      </w:r>
      <w:proofErr w:type="spellEnd"/>
      <w:r w:rsidRPr="006218BC">
        <w:rPr>
          <w:lang w:val="en-GB"/>
        </w:rPr>
        <w:t xml:space="preserve"> 40 </w:t>
      </w:r>
      <w:proofErr w:type="spellStart"/>
      <w:r w:rsidRPr="006218BC">
        <w:rPr>
          <w:lang w:val="en-GB"/>
        </w:rPr>
        <w:t>Jahren</w:t>
      </w:r>
      <w:proofErr w:type="spellEnd"/>
      <w:r w:rsidRPr="006218BC">
        <w:rPr>
          <w:lang w:val="en-GB"/>
        </w:rPr>
        <w:t xml:space="preserve"> </w:t>
      </w:r>
      <w:proofErr w:type="spellStart"/>
      <w:r w:rsidRPr="006218BC">
        <w:rPr>
          <w:lang w:val="en-GB"/>
        </w:rPr>
        <w:t>Grundgesetz</w:t>
      </w:r>
      <w:proofErr w:type="spellEnd"/>
      <w:r w:rsidRPr="006218BC">
        <w:rPr>
          <w:lang w:val="en-GB"/>
        </w:rPr>
        <w:t xml:space="preserve">, </w:t>
      </w:r>
      <w:proofErr w:type="spellStart"/>
      <w:r w:rsidRPr="006218BC">
        <w:rPr>
          <w:lang w:val="en-GB"/>
        </w:rPr>
        <w:t>München</w:t>
      </w:r>
      <w:proofErr w:type="spellEnd"/>
      <w:r w:rsidRPr="006218BC">
        <w:rPr>
          <w:lang w:val="en-GB"/>
        </w:rPr>
        <w:t xml:space="preserve"> 1990.</w:t>
      </w:r>
    </w:p>
    <w:p w14:paraId="221708AF" w14:textId="77777777" w:rsidR="00804F08" w:rsidRPr="006218BC" w:rsidRDefault="00804F08" w:rsidP="00CD3D33">
      <w:pPr>
        <w:pStyle w:val="Funotentext"/>
        <w:jc w:val="both"/>
        <w:rPr>
          <w:lang w:val="en-GB"/>
        </w:rPr>
      </w:pPr>
      <w:proofErr w:type="spellStart"/>
      <w:r w:rsidRPr="006218BC">
        <w:rPr>
          <w:i/>
          <w:lang w:val="en-GB"/>
        </w:rPr>
        <w:t>Bredimas</w:t>
      </w:r>
      <w:proofErr w:type="spellEnd"/>
      <w:r w:rsidRPr="006218BC">
        <w:rPr>
          <w:lang w:val="en-GB"/>
        </w:rPr>
        <w:t>, Methods of Interpretation and Community Law, London 1978.</w:t>
      </w:r>
    </w:p>
    <w:p w14:paraId="244D43F9" w14:textId="037F9858" w:rsidR="001C7EF0" w:rsidRPr="006218BC" w:rsidRDefault="001C7EF0" w:rsidP="00CD3D33">
      <w:pPr>
        <w:jc w:val="both"/>
        <w:rPr>
          <w:lang w:val="en-GB"/>
        </w:rPr>
      </w:pPr>
      <w:r w:rsidRPr="006218BC">
        <w:rPr>
          <w:i/>
          <w:lang w:val="en-GB"/>
        </w:rPr>
        <w:t>Castiglione</w:t>
      </w:r>
      <w:r w:rsidRPr="006218BC">
        <w:rPr>
          <w:lang w:val="en-GB"/>
        </w:rPr>
        <w:t>, Constitutional Politics in the European Union, in: Constitutional Politics in the European Union, (</w:t>
      </w:r>
      <w:r w:rsidR="008C7313">
        <w:rPr>
          <w:lang w:val="en-GB"/>
        </w:rPr>
        <w:t>ed</w:t>
      </w:r>
      <w:r w:rsidRPr="006218BC">
        <w:rPr>
          <w:lang w:val="en-GB"/>
        </w:rPr>
        <w:t>.) Castiglione et al., Oxford 2007, p. 11-26.</w:t>
      </w:r>
    </w:p>
    <w:p w14:paraId="14C20E69" w14:textId="32E4B10F" w:rsidR="00804F08" w:rsidRDefault="00804F08" w:rsidP="00CD3D33">
      <w:pPr>
        <w:pStyle w:val="Funotentext"/>
        <w:jc w:val="both"/>
        <w:rPr>
          <w:lang w:val="en-GB"/>
        </w:rPr>
      </w:pPr>
      <w:r w:rsidRPr="006218BC">
        <w:rPr>
          <w:i/>
          <w:lang w:val="en-GB"/>
        </w:rPr>
        <w:t>Chalmers</w:t>
      </w:r>
      <w:r w:rsidRPr="006218BC">
        <w:rPr>
          <w:lang w:val="en-GB"/>
        </w:rPr>
        <w:t>, European Union Law, Cambridge 2015.</w:t>
      </w:r>
    </w:p>
    <w:p w14:paraId="0533CE1A" w14:textId="6E740759" w:rsidR="00D14EE5" w:rsidRPr="00D14EE5" w:rsidRDefault="00D14EE5" w:rsidP="00CD3D33">
      <w:pPr>
        <w:pStyle w:val="Funotentext"/>
        <w:jc w:val="both"/>
        <w:rPr>
          <w:lang w:val="en-GB"/>
        </w:rPr>
      </w:pPr>
      <w:proofErr w:type="spellStart"/>
      <w:r w:rsidRPr="00D14EE5">
        <w:rPr>
          <w:i/>
          <w:lang w:val="en-GB"/>
        </w:rPr>
        <w:t>Claes</w:t>
      </w:r>
      <w:proofErr w:type="spellEnd"/>
      <w:r w:rsidRPr="00D14EE5">
        <w:rPr>
          <w:lang w:val="en-GB"/>
        </w:rPr>
        <w:t>,</w:t>
      </w:r>
      <w:r w:rsidRPr="00D14EE5">
        <w:rPr>
          <w:rFonts w:ascii="Arial" w:eastAsia="Times New Roman" w:hAnsi="Arial" w:cs="Arial"/>
          <w:color w:val="333333"/>
          <w:kern w:val="36"/>
          <w:lang w:val="en-GB"/>
        </w:rPr>
        <w:t xml:space="preserve"> </w:t>
      </w:r>
      <w:r w:rsidRPr="00D14EE5">
        <w:rPr>
          <w:bCs/>
          <w:lang w:val="en-GB"/>
        </w:rPr>
        <w:t>The National Courts' Mandate in the European Constitution</w:t>
      </w:r>
      <w:r>
        <w:rPr>
          <w:bCs/>
          <w:lang w:val="en-GB"/>
        </w:rPr>
        <w:t>, Oxford 2006.</w:t>
      </w:r>
    </w:p>
    <w:p w14:paraId="4D2AAE22" w14:textId="4F7314F3" w:rsidR="00804F08" w:rsidRPr="006218BC" w:rsidRDefault="00804F08" w:rsidP="00CD3D33">
      <w:pPr>
        <w:jc w:val="both"/>
        <w:rPr>
          <w:lang w:val="en-GB"/>
        </w:rPr>
      </w:pPr>
      <w:r w:rsidRPr="006218BC">
        <w:rPr>
          <w:i/>
          <w:lang w:val="en-GB"/>
        </w:rPr>
        <w:t>Conway</w:t>
      </w:r>
      <w:r w:rsidRPr="006218BC">
        <w:rPr>
          <w:lang w:val="en-GB"/>
        </w:rPr>
        <w:t>, The Limits of Legal Reasoning and the European Court of Justice, Cambridge 2012.</w:t>
      </w:r>
    </w:p>
    <w:p w14:paraId="73AF9B46" w14:textId="41320454" w:rsidR="00804F08" w:rsidRPr="006218BC" w:rsidRDefault="00804F08" w:rsidP="00CD3D33">
      <w:pPr>
        <w:pStyle w:val="Funotentext"/>
        <w:jc w:val="both"/>
        <w:rPr>
          <w:lang w:val="en-GB"/>
        </w:rPr>
      </w:pPr>
      <w:r w:rsidRPr="006218BC">
        <w:rPr>
          <w:lang w:val="en-GB"/>
        </w:rPr>
        <w:t xml:space="preserve">Craig/De </w:t>
      </w:r>
      <w:proofErr w:type="spellStart"/>
      <w:r w:rsidRPr="006218BC">
        <w:rPr>
          <w:lang w:val="en-GB"/>
        </w:rPr>
        <w:t>Burca</w:t>
      </w:r>
      <w:proofErr w:type="spellEnd"/>
      <w:r w:rsidRPr="006218BC">
        <w:rPr>
          <w:lang w:val="en-GB"/>
        </w:rPr>
        <w:t>, EU Law. Text, Cases and Materials, Oxford 2011.</w:t>
      </w:r>
    </w:p>
    <w:p w14:paraId="5569F459" w14:textId="094A783B" w:rsidR="001C7EF0" w:rsidRPr="006218BC" w:rsidRDefault="001C7EF0" w:rsidP="00CD3D33">
      <w:pPr>
        <w:jc w:val="both"/>
        <w:rPr>
          <w:lang w:val="en-GB"/>
        </w:rPr>
      </w:pPr>
      <w:proofErr w:type="spellStart"/>
      <w:r w:rsidRPr="006218BC">
        <w:rPr>
          <w:i/>
          <w:lang w:val="en-GB"/>
        </w:rPr>
        <w:t>Defeis</w:t>
      </w:r>
      <w:proofErr w:type="spellEnd"/>
      <w:r w:rsidRPr="006218BC">
        <w:rPr>
          <w:lang w:val="en-GB"/>
        </w:rPr>
        <w:t>, Human Rights and the European Court of Justice: An Appraisal, Vol. 31 Fordham International Law Journal 2007, p. 1104-1117.</w:t>
      </w:r>
    </w:p>
    <w:p w14:paraId="26FA7D2A" w14:textId="3207D67D" w:rsidR="00804F08" w:rsidRPr="006218BC" w:rsidRDefault="00804F08" w:rsidP="00CD3D33">
      <w:pPr>
        <w:pStyle w:val="Funotentext"/>
        <w:jc w:val="both"/>
        <w:rPr>
          <w:lang w:val="en-GB"/>
        </w:rPr>
      </w:pPr>
      <w:r w:rsidRPr="006218BC">
        <w:rPr>
          <w:i/>
          <w:lang w:val="en-GB"/>
        </w:rPr>
        <w:t>De la Mare/</w:t>
      </w:r>
      <w:proofErr w:type="spellStart"/>
      <w:r w:rsidRPr="006218BC">
        <w:rPr>
          <w:i/>
          <w:lang w:val="en-GB"/>
        </w:rPr>
        <w:t>Donnely</w:t>
      </w:r>
      <w:proofErr w:type="spellEnd"/>
      <w:r w:rsidRPr="006218BC">
        <w:rPr>
          <w:lang w:val="en-GB"/>
        </w:rPr>
        <w:t xml:space="preserve">, Preliminary Rulings and EU Legal Integration: Evolution and Stasis, in: Craig/De </w:t>
      </w:r>
      <w:proofErr w:type="spellStart"/>
      <w:r w:rsidRPr="006218BC">
        <w:rPr>
          <w:lang w:val="en-GB"/>
        </w:rPr>
        <w:t>Burca</w:t>
      </w:r>
      <w:proofErr w:type="spellEnd"/>
      <w:r w:rsidRPr="006218BC">
        <w:rPr>
          <w:lang w:val="en-GB"/>
        </w:rPr>
        <w:t>, The Evo</w:t>
      </w:r>
      <w:r w:rsidR="00091654" w:rsidRPr="006218BC">
        <w:rPr>
          <w:lang w:val="en-GB"/>
        </w:rPr>
        <w:t>lution of EU law, Oxford 2011, p</w:t>
      </w:r>
      <w:r w:rsidRPr="006218BC">
        <w:rPr>
          <w:lang w:val="en-GB"/>
        </w:rPr>
        <w:t>. 363-407.</w:t>
      </w:r>
    </w:p>
    <w:p w14:paraId="3CF81D96" w14:textId="7DD4465D" w:rsidR="00804F08" w:rsidRPr="006218BC" w:rsidRDefault="00804F08" w:rsidP="00CD3D33">
      <w:pPr>
        <w:jc w:val="both"/>
        <w:rPr>
          <w:lang w:val="en-GB"/>
        </w:rPr>
      </w:pPr>
      <w:r w:rsidRPr="006218BC">
        <w:rPr>
          <w:i/>
          <w:lang w:val="en-GB"/>
        </w:rPr>
        <w:t>De Witte</w:t>
      </w:r>
      <w:r w:rsidRPr="006218BC">
        <w:rPr>
          <w:lang w:val="en-GB"/>
        </w:rPr>
        <w:t xml:space="preserve">, Direct Effect, Primacy and the nature oft he legal order, in: Craig/De </w:t>
      </w:r>
      <w:proofErr w:type="spellStart"/>
      <w:r w:rsidRPr="006218BC">
        <w:rPr>
          <w:lang w:val="en-GB"/>
        </w:rPr>
        <w:t>Burca</w:t>
      </w:r>
      <w:proofErr w:type="spellEnd"/>
      <w:r w:rsidRPr="006218BC">
        <w:rPr>
          <w:lang w:val="en-GB"/>
        </w:rPr>
        <w:t>, The Evo</w:t>
      </w:r>
      <w:r w:rsidR="00091654" w:rsidRPr="006218BC">
        <w:rPr>
          <w:lang w:val="en-GB"/>
        </w:rPr>
        <w:t>lution of EU law, Oxford 2011, p</w:t>
      </w:r>
      <w:r w:rsidRPr="006218BC">
        <w:rPr>
          <w:lang w:val="en-GB"/>
        </w:rPr>
        <w:t>. 323-363.</w:t>
      </w:r>
    </w:p>
    <w:p w14:paraId="11A4796F" w14:textId="0665CF8B" w:rsidR="00F043CD" w:rsidRPr="006218BC" w:rsidRDefault="00F043CD" w:rsidP="00CD3D33">
      <w:pPr>
        <w:jc w:val="both"/>
        <w:rPr>
          <w:lang w:val="en-GB"/>
        </w:rPr>
      </w:pPr>
      <w:proofErr w:type="spellStart"/>
      <w:r w:rsidRPr="006218BC">
        <w:rPr>
          <w:i/>
          <w:lang w:val="en-GB"/>
        </w:rPr>
        <w:t>Eberhard</w:t>
      </w:r>
      <w:proofErr w:type="spellEnd"/>
      <w:r w:rsidRPr="006218BC">
        <w:rPr>
          <w:i/>
          <w:lang w:val="en-GB"/>
        </w:rPr>
        <w:t>/</w:t>
      </w:r>
      <w:proofErr w:type="spellStart"/>
      <w:r w:rsidRPr="006218BC">
        <w:rPr>
          <w:i/>
          <w:lang w:val="en-GB"/>
        </w:rPr>
        <w:t>Öhlinger</w:t>
      </w:r>
      <w:proofErr w:type="spellEnd"/>
      <w:r w:rsidRPr="006218BC">
        <w:rPr>
          <w:lang w:val="en-GB"/>
        </w:rPr>
        <w:t xml:space="preserve">, </w:t>
      </w:r>
      <w:proofErr w:type="spellStart"/>
      <w:r w:rsidRPr="006218BC">
        <w:rPr>
          <w:lang w:val="en-GB"/>
        </w:rPr>
        <w:t>Verfassungsrecht</w:t>
      </w:r>
      <w:proofErr w:type="spellEnd"/>
      <w:r w:rsidRPr="006218BC">
        <w:rPr>
          <w:lang w:val="en-GB"/>
        </w:rPr>
        <w:t>, Wien 2014.</w:t>
      </w:r>
    </w:p>
    <w:p w14:paraId="3881D048" w14:textId="386477BE" w:rsidR="00DD5072" w:rsidRPr="006218BC" w:rsidRDefault="00DD5072" w:rsidP="00CD3D33">
      <w:pPr>
        <w:pStyle w:val="Funotentext"/>
        <w:jc w:val="both"/>
        <w:rPr>
          <w:lang w:val="en-GB"/>
        </w:rPr>
      </w:pPr>
      <w:proofErr w:type="spellStart"/>
      <w:r w:rsidRPr="006218BC">
        <w:rPr>
          <w:i/>
          <w:lang w:val="en-GB"/>
        </w:rPr>
        <w:t>Gamper</w:t>
      </w:r>
      <w:proofErr w:type="spellEnd"/>
      <w:r w:rsidRPr="006218BC">
        <w:rPr>
          <w:lang w:val="en-GB"/>
        </w:rPr>
        <w:t xml:space="preserve">, </w:t>
      </w:r>
      <w:proofErr w:type="spellStart"/>
      <w:r w:rsidRPr="006218BC">
        <w:rPr>
          <w:lang w:val="en-GB"/>
        </w:rPr>
        <w:t>Staat</w:t>
      </w:r>
      <w:proofErr w:type="spellEnd"/>
      <w:r w:rsidRPr="006218BC">
        <w:rPr>
          <w:lang w:val="en-GB"/>
        </w:rPr>
        <w:t xml:space="preserve"> und </w:t>
      </w:r>
      <w:proofErr w:type="spellStart"/>
      <w:r w:rsidRPr="006218BC">
        <w:rPr>
          <w:lang w:val="en-GB"/>
        </w:rPr>
        <w:t>Verfassung</w:t>
      </w:r>
      <w:proofErr w:type="spellEnd"/>
      <w:r w:rsidRPr="006218BC">
        <w:rPr>
          <w:lang w:val="en-GB"/>
        </w:rPr>
        <w:t xml:space="preserve">, </w:t>
      </w:r>
      <w:r w:rsidR="008C2356" w:rsidRPr="006218BC">
        <w:rPr>
          <w:lang w:val="en-GB"/>
        </w:rPr>
        <w:t>Wien 2014.</w:t>
      </w:r>
    </w:p>
    <w:p w14:paraId="687D71D4" w14:textId="0DEF1CE3" w:rsidR="005C402F" w:rsidRPr="006218BC" w:rsidRDefault="005C402F" w:rsidP="00CD3D33">
      <w:pPr>
        <w:pStyle w:val="Funotentext"/>
        <w:jc w:val="both"/>
        <w:rPr>
          <w:lang w:val="en-GB"/>
        </w:rPr>
      </w:pPr>
      <w:proofErr w:type="spellStart"/>
      <w:r w:rsidRPr="006218BC">
        <w:rPr>
          <w:rFonts w:eastAsia="Times New Roman" w:cs="Times New Roman"/>
          <w:i/>
          <w:lang w:val="en-GB"/>
        </w:rPr>
        <w:t>Henne</w:t>
      </w:r>
      <w:proofErr w:type="spellEnd"/>
      <w:r w:rsidRPr="006218BC">
        <w:rPr>
          <w:rFonts w:eastAsia="Times New Roman" w:cs="Times New Roman"/>
          <w:lang w:val="en-GB"/>
        </w:rPr>
        <w:t xml:space="preserve">, „von 0 auf </w:t>
      </w:r>
      <w:proofErr w:type="spellStart"/>
      <w:r w:rsidRPr="006218BC">
        <w:rPr>
          <w:rFonts w:eastAsia="Times New Roman" w:cs="Times New Roman"/>
          <w:lang w:val="en-GB"/>
        </w:rPr>
        <w:t>Lüth</w:t>
      </w:r>
      <w:proofErr w:type="spellEnd"/>
      <w:r w:rsidRPr="006218BC">
        <w:rPr>
          <w:rFonts w:eastAsia="Times New Roman" w:cs="Times New Roman"/>
          <w:lang w:val="en-GB"/>
        </w:rPr>
        <w:t xml:space="preserve"> in 6 ½ </w:t>
      </w:r>
      <w:proofErr w:type="spellStart"/>
      <w:r w:rsidRPr="006218BC">
        <w:rPr>
          <w:rFonts w:eastAsia="Times New Roman" w:cs="Times New Roman"/>
          <w:lang w:val="en-GB"/>
        </w:rPr>
        <w:t>Jahren</w:t>
      </w:r>
      <w:proofErr w:type="spellEnd"/>
      <w:r w:rsidRPr="006218BC">
        <w:rPr>
          <w:rFonts w:eastAsia="Times New Roman" w:cs="Times New Roman"/>
          <w:lang w:val="en-GB"/>
        </w:rPr>
        <w:t xml:space="preserve">“. </w:t>
      </w:r>
      <w:proofErr w:type="spellStart"/>
      <w:r w:rsidRPr="006218BC">
        <w:rPr>
          <w:rFonts w:eastAsia="Times New Roman" w:cs="Times New Roman"/>
          <w:lang w:val="en-GB"/>
        </w:rPr>
        <w:t>Zu</w:t>
      </w:r>
      <w:proofErr w:type="spellEnd"/>
      <w:r w:rsidRPr="006218BC">
        <w:rPr>
          <w:rFonts w:eastAsia="Times New Roman" w:cs="Times New Roman"/>
          <w:lang w:val="en-GB"/>
        </w:rPr>
        <w:t xml:space="preserve"> den </w:t>
      </w:r>
      <w:proofErr w:type="spellStart"/>
      <w:r w:rsidRPr="006218BC">
        <w:rPr>
          <w:rFonts w:eastAsia="Times New Roman" w:cs="Times New Roman"/>
          <w:lang w:val="en-GB"/>
        </w:rPr>
        <w:t>prägenden</w:t>
      </w:r>
      <w:proofErr w:type="spellEnd"/>
      <w:r w:rsidRPr="006218BC">
        <w:rPr>
          <w:rFonts w:eastAsia="Times New Roman" w:cs="Times New Roman"/>
          <w:lang w:val="en-GB"/>
        </w:rPr>
        <w:t xml:space="preserve"> </w:t>
      </w:r>
      <w:proofErr w:type="spellStart"/>
      <w:r w:rsidRPr="006218BC">
        <w:rPr>
          <w:rFonts w:eastAsia="Times New Roman" w:cs="Times New Roman"/>
          <w:lang w:val="en-GB"/>
        </w:rPr>
        <w:t>Faktoren</w:t>
      </w:r>
      <w:proofErr w:type="spellEnd"/>
      <w:r w:rsidRPr="006218BC">
        <w:rPr>
          <w:rFonts w:eastAsia="Times New Roman" w:cs="Times New Roman"/>
          <w:lang w:val="en-GB"/>
        </w:rPr>
        <w:t xml:space="preserve"> der </w:t>
      </w:r>
      <w:proofErr w:type="spellStart"/>
      <w:r w:rsidRPr="006218BC">
        <w:rPr>
          <w:rFonts w:eastAsia="Times New Roman" w:cs="Times New Roman"/>
          <w:lang w:val="en-GB"/>
        </w:rPr>
        <w:t>Grundsatzentscheidung</w:t>
      </w:r>
      <w:proofErr w:type="spellEnd"/>
      <w:r w:rsidRPr="006218BC">
        <w:rPr>
          <w:rFonts w:eastAsia="Times New Roman" w:cs="Times New Roman"/>
          <w:lang w:val="en-GB"/>
        </w:rPr>
        <w:t>, in:</w:t>
      </w:r>
      <w:r w:rsidRPr="006218BC">
        <w:rPr>
          <w:rFonts w:eastAsia="Times New Roman" w:cs="Times New Roman"/>
          <w:color w:val="1F497D" w:themeColor="text2"/>
          <w:lang w:val="en-GB"/>
        </w:rPr>
        <w:t xml:space="preserve"> </w:t>
      </w:r>
      <w:proofErr w:type="spellStart"/>
      <w:r w:rsidRPr="006218BC">
        <w:rPr>
          <w:lang w:val="en-GB"/>
        </w:rPr>
        <w:t>Henne</w:t>
      </w:r>
      <w:proofErr w:type="spellEnd"/>
      <w:r w:rsidRPr="006218BC">
        <w:rPr>
          <w:lang w:val="en-GB"/>
        </w:rPr>
        <w:t xml:space="preserve"> Thomas/Arne </w:t>
      </w:r>
      <w:proofErr w:type="spellStart"/>
      <w:r w:rsidRPr="006218BC">
        <w:rPr>
          <w:lang w:val="en-GB"/>
        </w:rPr>
        <w:t>Riedlinger</w:t>
      </w:r>
      <w:proofErr w:type="spellEnd"/>
      <w:r w:rsidRPr="006218BC">
        <w:rPr>
          <w:lang w:val="en-GB"/>
        </w:rPr>
        <w:t xml:space="preserve"> (</w:t>
      </w:r>
      <w:r w:rsidR="00032367">
        <w:rPr>
          <w:lang w:val="en-GB"/>
        </w:rPr>
        <w:t>ed</w:t>
      </w:r>
      <w:r w:rsidRPr="006218BC">
        <w:rPr>
          <w:lang w:val="en-GB"/>
        </w:rPr>
        <w:t xml:space="preserve">.), Das </w:t>
      </w:r>
      <w:proofErr w:type="spellStart"/>
      <w:r w:rsidRPr="006218BC">
        <w:rPr>
          <w:lang w:val="en-GB"/>
        </w:rPr>
        <w:t>Lüth-Urteil</w:t>
      </w:r>
      <w:proofErr w:type="spellEnd"/>
      <w:r w:rsidRPr="006218BC">
        <w:rPr>
          <w:lang w:val="en-GB"/>
        </w:rPr>
        <w:t xml:space="preserve"> </w:t>
      </w:r>
      <w:proofErr w:type="spellStart"/>
      <w:r w:rsidRPr="006218BC">
        <w:rPr>
          <w:lang w:val="en-GB"/>
        </w:rPr>
        <w:t>aus</w:t>
      </w:r>
      <w:proofErr w:type="spellEnd"/>
      <w:r w:rsidRPr="006218BC">
        <w:rPr>
          <w:lang w:val="en-GB"/>
        </w:rPr>
        <w:t xml:space="preserve"> (</w:t>
      </w:r>
      <w:proofErr w:type="spellStart"/>
      <w:r w:rsidRPr="006218BC">
        <w:rPr>
          <w:lang w:val="en-GB"/>
        </w:rPr>
        <w:t>rechts</w:t>
      </w:r>
      <w:proofErr w:type="spellEnd"/>
      <w:r w:rsidRPr="006218BC">
        <w:rPr>
          <w:lang w:val="en-GB"/>
        </w:rPr>
        <w:t>-)</w:t>
      </w:r>
      <w:proofErr w:type="spellStart"/>
      <w:r w:rsidRPr="006218BC">
        <w:rPr>
          <w:lang w:val="en-GB"/>
        </w:rPr>
        <w:t>historischer</w:t>
      </w:r>
      <w:proofErr w:type="spellEnd"/>
      <w:r w:rsidRPr="006218BC">
        <w:rPr>
          <w:lang w:val="en-GB"/>
        </w:rPr>
        <w:t xml:space="preserve"> </w:t>
      </w:r>
      <w:proofErr w:type="spellStart"/>
      <w:r w:rsidRPr="006218BC">
        <w:rPr>
          <w:lang w:val="en-GB"/>
        </w:rPr>
        <w:t>Sicher</w:t>
      </w:r>
      <w:proofErr w:type="spellEnd"/>
      <w:r w:rsidRPr="006218BC">
        <w:rPr>
          <w:lang w:val="en-GB"/>
        </w:rPr>
        <w:t xml:space="preserve">. Die </w:t>
      </w:r>
      <w:proofErr w:type="spellStart"/>
      <w:r w:rsidRPr="006218BC">
        <w:rPr>
          <w:lang w:val="en-GB"/>
        </w:rPr>
        <w:t>Konflikte</w:t>
      </w:r>
      <w:proofErr w:type="spellEnd"/>
      <w:r w:rsidRPr="006218BC">
        <w:rPr>
          <w:lang w:val="en-GB"/>
        </w:rPr>
        <w:t xml:space="preserve"> um </w:t>
      </w:r>
      <w:proofErr w:type="spellStart"/>
      <w:r w:rsidRPr="006218BC">
        <w:rPr>
          <w:lang w:val="en-GB"/>
        </w:rPr>
        <w:t>Veit</w:t>
      </w:r>
      <w:proofErr w:type="spellEnd"/>
      <w:r w:rsidRPr="006218BC">
        <w:rPr>
          <w:lang w:val="en-GB"/>
        </w:rPr>
        <w:t xml:space="preserve"> Harlan und die </w:t>
      </w:r>
      <w:proofErr w:type="spellStart"/>
      <w:r w:rsidRPr="006218BC">
        <w:rPr>
          <w:lang w:val="en-GB"/>
        </w:rPr>
        <w:t>Grundrechtsjudikatur</w:t>
      </w:r>
      <w:proofErr w:type="spellEnd"/>
      <w:r w:rsidRPr="006218BC">
        <w:rPr>
          <w:lang w:val="en-GB"/>
        </w:rPr>
        <w:t xml:space="preserve"> des </w:t>
      </w:r>
      <w:proofErr w:type="spellStart"/>
      <w:r w:rsidRPr="006218BC">
        <w:rPr>
          <w:lang w:val="en-GB"/>
        </w:rPr>
        <w:t>Bundesverfassungsgerichts</w:t>
      </w:r>
      <w:proofErr w:type="spellEnd"/>
      <w:r w:rsidRPr="006218BC">
        <w:rPr>
          <w:lang w:val="en-GB"/>
        </w:rPr>
        <w:t>, Berlin 2005, p. 197ff</w:t>
      </w:r>
      <w:r w:rsidRPr="006218BC">
        <w:rPr>
          <w:b/>
          <w:lang w:val="en-GB"/>
        </w:rPr>
        <w:t>.</w:t>
      </w:r>
    </w:p>
    <w:p w14:paraId="16FE6553" w14:textId="34C1C570" w:rsidR="00DD5072" w:rsidRPr="006218BC" w:rsidRDefault="008C2356" w:rsidP="00CD3D33">
      <w:pPr>
        <w:jc w:val="both"/>
        <w:rPr>
          <w:lang w:val="en-GB"/>
        </w:rPr>
      </w:pPr>
      <w:proofErr w:type="spellStart"/>
      <w:r w:rsidRPr="006218BC">
        <w:rPr>
          <w:i/>
          <w:lang w:val="en-GB"/>
        </w:rPr>
        <w:t>Hesse</w:t>
      </w:r>
      <w:proofErr w:type="spellEnd"/>
      <w:r w:rsidRPr="006218BC">
        <w:rPr>
          <w:lang w:val="en-GB"/>
        </w:rPr>
        <w:t xml:space="preserve">, </w:t>
      </w:r>
      <w:proofErr w:type="spellStart"/>
      <w:r w:rsidRPr="006218BC">
        <w:rPr>
          <w:lang w:val="en-GB"/>
        </w:rPr>
        <w:t>Grundzüge</w:t>
      </w:r>
      <w:proofErr w:type="spellEnd"/>
      <w:r w:rsidRPr="006218BC">
        <w:rPr>
          <w:lang w:val="en-GB"/>
        </w:rPr>
        <w:t xml:space="preserve"> des </w:t>
      </w:r>
      <w:proofErr w:type="spellStart"/>
      <w:r w:rsidRPr="006218BC">
        <w:rPr>
          <w:lang w:val="en-GB"/>
        </w:rPr>
        <w:t>Verfassungsrechts</w:t>
      </w:r>
      <w:proofErr w:type="spellEnd"/>
      <w:r w:rsidRPr="006218BC">
        <w:rPr>
          <w:lang w:val="en-GB"/>
        </w:rPr>
        <w:t xml:space="preserve"> der </w:t>
      </w:r>
      <w:proofErr w:type="spellStart"/>
      <w:r w:rsidRPr="006218BC">
        <w:rPr>
          <w:lang w:val="en-GB"/>
        </w:rPr>
        <w:t>Bundesrepublik</w:t>
      </w:r>
      <w:proofErr w:type="spellEnd"/>
      <w:r w:rsidRPr="006218BC">
        <w:rPr>
          <w:lang w:val="en-GB"/>
        </w:rPr>
        <w:t xml:space="preserve"> Deutschland, Heidelberg 1999.</w:t>
      </w:r>
    </w:p>
    <w:p w14:paraId="68B4E53B" w14:textId="451B98FA" w:rsidR="00804F08" w:rsidRPr="006218BC" w:rsidRDefault="00804F08" w:rsidP="00CD3D33">
      <w:pPr>
        <w:pStyle w:val="Funotentext"/>
        <w:jc w:val="both"/>
        <w:rPr>
          <w:lang w:val="en-GB"/>
        </w:rPr>
      </w:pPr>
      <w:proofErr w:type="spellStart"/>
      <w:r w:rsidRPr="006218BC">
        <w:rPr>
          <w:i/>
          <w:lang w:val="en-GB"/>
        </w:rPr>
        <w:t>Holzleithner</w:t>
      </w:r>
      <w:proofErr w:type="spellEnd"/>
      <w:r w:rsidRPr="006218BC">
        <w:rPr>
          <w:i/>
          <w:lang w:val="en-GB"/>
        </w:rPr>
        <w:t>/Mayer-</w:t>
      </w:r>
      <w:proofErr w:type="spellStart"/>
      <w:r w:rsidRPr="006218BC">
        <w:rPr>
          <w:i/>
          <w:lang w:val="en-GB"/>
        </w:rPr>
        <w:t>Schönberger</w:t>
      </w:r>
      <w:proofErr w:type="spellEnd"/>
      <w:r w:rsidRPr="006218BC">
        <w:rPr>
          <w:lang w:val="en-GB"/>
        </w:rPr>
        <w:t xml:space="preserve">, Das </w:t>
      </w:r>
      <w:proofErr w:type="spellStart"/>
      <w:r w:rsidRPr="006218BC">
        <w:rPr>
          <w:lang w:val="en-GB"/>
        </w:rPr>
        <w:t>Zitat</w:t>
      </w:r>
      <w:proofErr w:type="spellEnd"/>
      <w:r w:rsidRPr="006218BC">
        <w:rPr>
          <w:lang w:val="en-GB"/>
        </w:rPr>
        <w:t xml:space="preserve"> </w:t>
      </w:r>
      <w:proofErr w:type="spellStart"/>
      <w:r w:rsidRPr="006218BC">
        <w:rPr>
          <w:lang w:val="en-GB"/>
        </w:rPr>
        <w:t>als</w:t>
      </w:r>
      <w:proofErr w:type="spellEnd"/>
      <w:r w:rsidRPr="006218BC">
        <w:rPr>
          <w:lang w:val="en-GB"/>
        </w:rPr>
        <w:t xml:space="preserve"> </w:t>
      </w:r>
      <w:proofErr w:type="spellStart"/>
      <w:r w:rsidRPr="006218BC">
        <w:rPr>
          <w:lang w:val="en-GB"/>
        </w:rPr>
        <w:t>grundloser</w:t>
      </w:r>
      <w:proofErr w:type="spellEnd"/>
      <w:r w:rsidRPr="006218BC">
        <w:rPr>
          <w:lang w:val="en-GB"/>
        </w:rPr>
        <w:t xml:space="preserve"> </w:t>
      </w:r>
      <w:proofErr w:type="spellStart"/>
      <w:r w:rsidRPr="006218BC">
        <w:rPr>
          <w:lang w:val="en-GB"/>
        </w:rPr>
        <w:t>Grund</w:t>
      </w:r>
      <w:proofErr w:type="spellEnd"/>
      <w:r w:rsidRPr="006218BC">
        <w:rPr>
          <w:lang w:val="en-GB"/>
        </w:rPr>
        <w:t xml:space="preserve"> </w:t>
      </w:r>
      <w:proofErr w:type="spellStart"/>
      <w:r w:rsidRPr="006218BC">
        <w:rPr>
          <w:lang w:val="en-GB"/>
        </w:rPr>
        <w:t>rechtlicher</w:t>
      </w:r>
      <w:proofErr w:type="spellEnd"/>
      <w:r w:rsidRPr="006218BC">
        <w:rPr>
          <w:lang w:val="en-GB"/>
        </w:rPr>
        <w:t xml:space="preserve"> </w:t>
      </w:r>
      <w:proofErr w:type="spellStart"/>
      <w:r w:rsidRPr="006218BC">
        <w:rPr>
          <w:lang w:val="en-GB"/>
        </w:rPr>
        <w:t>Legitimität</w:t>
      </w:r>
      <w:proofErr w:type="spellEnd"/>
      <w:r w:rsidRPr="006218BC">
        <w:rPr>
          <w:lang w:val="en-GB"/>
        </w:rPr>
        <w:t xml:space="preserve">, in: </w:t>
      </w:r>
      <w:proofErr w:type="spellStart"/>
      <w:r w:rsidRPr="006218BC">
        <w:rPr>
          <w:lang w:val="en-GB"/>
        </w:rPr>
        <w:t>Feldner</w:t>
      </w:r>
      <w:proofErr w:type="spellEnd"/>
      <w:r w:rsidRPr="006218BC">
        <w:rPr>
          <w:lang w:val="en-GB"/>
        </w:rPr>
        <w:t>/Forgo (</w:t>
      </w:r>
      <w:r w:rsidR="00032367">
        <w:rPr>
          <w:lang w:val="en-GB"/>
        </w:rPr>
        <w:t>ed</w:t>
      </w:r>
      <w:r w:rsidRPr="006218BC">
        <w:rPr>
          <w:lang w:val="en-GB"/>
        </w:rPr>
        <w:t xml:space="preserve">.), Norm und </w:t>
      </w:r>
      <w:proofErr w:type="spellStart"/>
      <w:r w:rsidRPr="006218BC">
        <w:rPr>
          <w:lang w:val="en-GB"/>
        </w:rPr>
        <w:t>Entscheidung</w:t>
      </w:r>
      <w:proofErr w:type="spellEnd"/>
      <w:r w:rsidRPr="006218BC">
        <w:rPr>
          <w:lang w:val="en-GB"/>
        </w:rPr>
        <w:t xml:space="preserve">. </w:t>
      </w:r>
      <w:proofErr w:type="spellStart"/>
      <w:r w:rsidRPr="006218BC">
        <w:rPr>
          <w:lang w:val="en-GB"/>
        </w:rPr>
        <w:t>Prologomena</w:t>
      </w:r>
      <w:proofErr w:type="spellEnd"/>
      <w:r w:rsidRPr="006218BC">
        <w:rPr>
          <w:lang w:val="en-GB"/>
        </w:rPr>
        <w:t xml:space="preserve"> </w:t>
      </w:r>
      <w:proofErr w:type="spellStart"/>
      <w:r w:rsidRPr="006218BC">
        <w:rPr>
          <w:lang w:val="en-GB"/>
        </w:rPr>
        <w:t>zu</w:t>
      </w:r>
      <w:proofErr w:type="spellEnd"/>
      <w:r w:rsidRPr="006218BC">
        <w:rPr>
          <w:lang w:val="en-GB"/>
        </w:rPr>
        <w:t xml:space="preserve"> </w:t>
      </w:r>
      <w:proofErr w:type="spellStart"/>
      <w:r w:rsidRPr="006218BC">
        <w:rPr>
          <w:lang w:val="en-GB"/>
        </w:rPr>
        <w:t>einer</w:t>
      </w:r>
      <w:proofErr w:type="spellEnd"/>
      <w:r w:rsidRPr="006218BC">
        <w:rPr>
          <w:lang w:val="en-GB"/>
        </w:rPr>
        <w:t xml:space="preserve"> </w:t>
      </w:r>
      <w:proofErr w:type="spellStart"/>
      <w:r w:rsidRPr="006218BC">
        <w:rPr>
          <w:lang w:val="en-GB"/>
        </w:rPr>
        <w:t>Theorie</w:t>
      </w:r>
      <w:proofErr w:type="spellEnd"/>
      <w:r w:rsidRPr="006218BC">
        <w:rPr>
          <w:lang w:val="en-GB"/>
        </w:rPr>
        <w:t xml:space="preserve"> des Falls, Wien 2000.</w:t>
      </w:r>
    </w:p>
    <w:p w14:paraId="6A1FB6C2" w14:textId="0FBF782B" w:rsidR="00B530B1" w:rsidRPr="006218BC" w:rsidRDefault="00B530B1" w:rsidP="00CD3D33">
      <w:pPr>
        <w:jc w:val="both"/>
        <w:rPr>
          <w:lang w:val="en-GB"/>
        </w:rPr>
      </w:pPr>
      <w:r w:rsidRPr="006218BC">
        <w:rPr>
          <w:i/>
          <w:lang w:val="en-GB"/>
        </w:rPr>
        <w:t>Ludlow</w:t>
      </w:r>
      <w:r w:rsidRPr="006218BC">
        <w:rPr>
          <w:lang w:val="en-GB"/>
        </w:rPr>
        <w:t>, Challenging French Leadership in Europe: Germany, Italy, the Netherlands and the Outbreak of the Empty Chair Crisis of 1965-1966, Vol. 8 No. 2 Contemporary European History 1999., p. 231-248.</w:t>
      </w:r>
    </w:p>
    <w:p w14:paraId="72423849" w14:textId="67AA8C8D" w:rsidR="00D729EB" w:rsidRPr="006218BC" w:rsidRDefault="00D729EB" w:rsidP="00CD3D33">
      <w:pPr>
        <w:pStyle w:val="Funotentext"/>
        <w:jc w:val="both"/>
        <w:rPr>
          <w:lang w:val="en-GB"/>
        </w:rPr>
      </w:pPr>
      <w:r w:rsidRPr="006218BC">
        <w:rPr>
          <w:i/>
          <w:lang w:val="en-GB"/>
        </w:rPr>
        <w:t>Mancini</w:t>
      </w:r>
      <w:r w:rsidRPr="006218BC">
        <w:rPr>
          <w:lang w:val="en-GB"/>
        </w:rPr>
        <w:t xml:space="preserve">, The Making of a Constitution of Europe, 26 </w:t>
      </w:r>
      <w:r w:rsidR="00B530B1" w:rsidRPr="006218BC">
        <w:rPr>
          <w:lang w:val="en-GB"/>
        </w:rPr>
        <w:t>Common Market Law Review</w:t>
      </w:r>
      <w:r w:rsidRPr="006218BC">
        <w:rPr>
          <w:lang w:val="en-GB"/>
        </w:rPr>
        <w:t xml:space="preserve"> 1989, p. 595-614.</w:t>
      </w:r>
    </w:p>
    <w:p w14:paraId="25FCA97C" w14:textId="77777777" w:rsidR="005C402F" w:rsidRPr="006218BC" w:rsidRDefault="003D220F" w:rsidP="00CD3D33">
      <w:pPr>
        <w:tabs>
          <w:tab w:val="left" w:pos="8080"/>
        </w:tabs>
        <w:spacing w:line="276" w:lineRule="auto"/>
        <w:jc w:val="both"/>
        <w:rPr>
          <w:lang w:val="en-GB"/>
        </w:rPr>
      </w:pPr>
      <w:proofErr w:type="spellStart"/>
      <w:r w:rsidRPr="006218BC">
        <w:rPr>
          <w:i/>
          <w:lang w:val="en-GB"/>
        </w:rPr>
        <w:t>Marjolin</w:t>
      </w:r>
      <w:proofErr w:type="spellEnd"/>
      <w:r w:rsidRPr="006218BC">
        <w:rPr>
          <w:lang w:val="en-GB"/>
        </w:rPr>
        <w:t>, Architect of European Unity, Memoirs 1911-1986, London 1989.</w:t>
      </w:r>
    </w:p>
    <w:p w14:paraId="46E13E4B" w14:textId="7BAE89E7" w:rsidR="003D220F" w:rsidRPr="006218BC" w:rsidRDefault="005C402F" w:rsidP="00CD3D33">
      <w:pPr>
        <w:tabs>
          <w:tab w:val="left" w:pos="8080"/>
        </w:tabs>
        <w:spacing w:line="276" w:lineRule="auto"/>
        <w:jc w:val="both"/>
        <w:rPr>
          <w:lang w:val="en-GB"/>
        </w:rPr>
      </w:pPr>
      <w:r w:rsidRPr="006218BC">
        <w:rPr>
          <w:rFonts w:eastAsia="Times New Roman" w:cs="Times New Roman"/>
          <w:i/>
          <w:iCs/>
          <w:lang w:val="en-GB"/>
        </w:rPr>
        <w:t>Metzler</w:t>
      </w:r>
      <w:r w:rsidRPr="006218BC">
        <w:rPr>
          <w:rFonts w:eastAsia="Times New Roman" w:cs="Times New Roman"/>
          <w:iCs/>
          <w:lang w:val="en-GB"/>
        </w:rPr>
        <w:t xml:space="preserve"> </w:t>
      </w:r>
      <w:r w:rsidRPr="006218BC">
        <w:rPr>
          <w:rFonts w:eastAsia="Times New Roman" w:cs="Times New Roman"/>
          <w:i/>
          <w:iCs/>
          <w:lang w:val="en-GB"/>
        </w:rPr>
        <w:t>Gabriele</w:t>
      </w:r>
      <w:r w:rsidRPr="006218BC">
        <w:rPr>
          <w:rFonts w:eastAsia="Times New Roman" w:cs="Times New Roman"/>
          <w:iCs/>
          <w:lang w:val="en-GB"/>
        </w:rPr>
        <w:t xml:space="preserve">, </w:t>
      </w:r>
      <w:proofErr w:type="spellStart"/>
      <w:r w:rsidRPr="006218BC">
        <w:rPr>
          <w:rFonts w:eastAsia="Times New Roman" w:cs="Times New Roman"/>
          <w:iCs/>
          <w:lang w:val="en-GB"/>
        </w:rPr>
        <w:t>Stabilisierung</w:t>
      </w:r>
      <w:proofErr w:type="spellEnd"/>
      <w:r w:rsidRPr="006218BC">
        <w:rPr>
          <w:rFonts w:eastAsia="Times New Roman" w:cs="Times New Roman"/>
          <w:iCs/>
          <w:lang w:val="en-GB"/>
        </w:rPr>
        <w:t xml:space="preserve">, </w:t>
      </w:r>
      <w:proofErr w:type="spellStart"/>
      <w:r w:rsidRPr="006218BC">
        <w:rPr>
          <w:rFonts w:eastAsia="Times New Roman" w:cs="Times New Roman"/>
          <w:iCs/>
          <w:lang w:val="en-GB"/>
        </w:rPr>
        <w:t>Normalisierung</w:t>
      </w:r>
      <w:proofErr w:type="spellEnd"/>
      <w:r w:rsidRPr="006218BC">
        <w:rPr>
          <w:rFonts w:eastAsia="Times New Roman" w:cs="Times New Roman"/>
          <w:iCs/>
          <w:lang w:val="en-GB"/>
        </w:rPr>
        <w:t xml:space="preserve">, </w:t>
      </w:r>
      <w:proofErr w:type="spellStart"/>
      <w:r w:rsidRPr="006218BC">
        <w:rPr>
          <w:rFonts w:eastAsia="Times New Roman" w:cs="Times New Roman"/>
          <w:iCs/>
          <w:lang w:val="en-GB"/>
        </w:rPr>
        <w:t>Modernisierung</w:t>
      </w:r>
      <w:proofErr w:type="spellEnd"/>
      <w:r w:rsidRPr="006218BC">
        <w:rPr>
          <w:rFonts w:eastAsia="Times New Roman" w:cs="Times New Roman"/>
          <w:iCs/>
          <w:lang w:val="en-GB"/>
        </w:rPr>
        <w:t xml:space="preserve">: Die </w:t>
      </w:r>
      <w:proofErr w:type="spellStart"/>
      <w:r w:rsidRPr="006218BC">
        <w:rPr>
          <w:rFonts w:eastAsia="Times New Roman" w:cs="Times New Roman"/>
          <w:iCs/>
          <w:lang w:val="en-GB"/>
        </w:rPr>
        <w:t>Bundesrepublik</w:t>
      </w:r>
      <w:proofErr w:type="spellEnd"/>
      <w:r w:rsidRPr="006218BC">
        <w:rPr>
          <w:rFonts w:eastAsia="Times New Roman" w:cs="Times New Roman"/>
          <w:iCs/>
          <w:lang w:val="en-GB"/>
        </w:rPr>
        <w:t xml:space="preserve"> in den 1950er </w:t>
      </w:r>
      <w:proofErr w:type="spellStart"/>
      <w:r w:rsidRPr="006218BC">
        <w:rPr>
          <w:rFonts w:eastAsia="Times New Roman" w:cs="Times New Roman"/>
          <w:iCs/>
          <w:lang w:val="en-GB"/>
        </w:rPr>
        <w:t>Jahren</w:t>
      </w:r>
      <w:proofErr w:type="spellEnd"/>
      <w:r w:rsidRPr="006218BC">
        <w:rPr>
          <w:rFonts w:eastAsia="Times New Roman" w:cs="Times New Roman"/>
          <w:iCs/>
          <w:lang w:val="en-GB"/>
        </w:rPr>
        <w:t xml:space="preserve">, in: </w:t>
      </w:r>
      <w:proofErr w:type="spellStart"/>
      <w:r w:rsidRPr="006218BC">
        <w:rPr>
          <w:lang w:val="en-GB"/>
        </w:rPr>
        <w:t>Henne</w:t>
      </w:r>
      <w:proofErr w:type="spellEnd"/>
      <w:r w:rsidRPr="006218BC">
        <w:rPr>
          <w:lang w:val="en-GB"/>
        </w:rPr>
        <w:t xml:space="preserve"> Thomas/Arne </w:t>
      </w:r>
      <w:proofErr w:type="spellStart"/>
      <w:r w:rsidRPr="006218BC">
        <w:rPr>
          <w:lang w:val="en-GB"/>
        </w:rPr>
        <w:t>Riedlinger</w:t>
      </w:r>
      <w:proofErr w:type="spellEnd"/>
      <w:r w:rsidRPr="006218BC">
        <w:rPr>
          <w:lang w:val="en-GB"/>
        </w:rPr>
        <w:t xml:space="preserve"> (</w:t>
      </w:r>
      <w:r w:rsidR="00032367">
        <w:rPr>
          <w:lang w:val="en-GB"/>
        </w:rPr>
        <w:t>ed</w:t>
      </w:r>
      <w:r w:rsidRPr="006218BC">
        <w:rPr>
          <w:lang w:val="en-GB"/>
        </w:rPr>
        <w:t xml:space="preserve">.), Das </w:t>
      </w:r>
      <w:proofErr w:type="spellStart"/>
      <w:r w:rsidRPr="006218BC">
        <w:rPr>
          <w:lang w:val="en-GB"/>
        </w:rPr>
        <w:t>Lüth-Urteil</w:t>
      </w:r>
      <w:proofErr w:type="spellEnd"/>
      <w:r w:rsidRPr="006218BC">
        <w:rPr>
          <w:lang w:val="en-GB"/>
        </w:rPr>
        <w:t xml:space="preserve"> </w:t>
      </w:r>
      <w:proofErr w:type="spellStart"/>
      <w:r w:rsidRPr="006218BC">
        <w:rPr>
          <w:lang w:val="en-GB"/>
        </w:rPr>
        <w:t>aus</w:t>
      </w:r>
      <w:proofErr w:type="spellEnd"/>
      <w:r w:rsidRPr="006218BC">
        <w:rPr>
          <w:lang w:val="en-GB"/>
        </w:rPr>
        <w:t xml:space="preserve"> (</w:t>
      </w:r>
      <w:proofErr w:type="spellStart"/>
      <w:r w:rsidRPr="006218BC">
        <w:rPr>
          <w:lang w:val="en-GB"/>
        </w:rPr>
        <w:t>rechts</w:t>
      </w:r>
      <w:proofErr w:type="spellEnd"/>
      <w:r w:rsidRPr="006218BC">
        <w:rPr>
          <w:lang w:val="en-GB"/>
        </w:rPr>
        <w:t xml:space="preserve">-) </w:t>
      </w:r>
      <w:proofErr w:type="spellStart"/>
      <w:r w:rsidRPr="006218BC">
        <w:rPr>
          <w:lang w:val="en-GB"/>
        </w:rPr>
        <w:t>historischer</w:t>
      </w:r>
      <w:proofErr w:type="spellEnd"/>
      <w:r w:rsidRPr="006218BC">
        <w:rPr>
          <w:lang w:val="en-GB"/>
        </w:rPr>
        <w:t xml:space="preserve"> </w:t>
      </w:r>
      <w:proofErr w:type="spellStart"/>
      <w:r w:rsidRPr="006218BC">
        <w:rPr>
          <w:lang w:val="en-GB"/>
        </w:rPr>
        <w:t>Sicher</w:t>
      </w:r>
      <w:proofErr w:type="spellEnd"/>
      <w:r w:rsidRPr="006218BC">
        <w:rPr>
          <w:lang w:val="en-GB"/>
        </w:rPr>
        <w:t xml:space="preserve">. Die </w:t>
      </w:r>
      <w:proofErr w:type="spellStart"/>
      <w:r w:rsidRPr="006218BC">
        <w:rPr>
          <w:lang w:val="en-GB"/>
        </w:rPr>
        <w:t>Konflikte</w:t>
      </w:r>
      <w:proofErr w:type="spellEnd"/>
      <w:r w:rsidRPr="006218BC">
        <w:rPr>
          <w:lang w:val="en-GB"/>
        </w:rPr>
        <w:t xml:space="preserve"> um </w:t>
      </w:r>
      <w:proofErr w:type="spellStart"/>
      <w:r w:rsidRPr="006218BC">
        <w:rPr>
          <w:lang w:val="en-GB"/>
        </w:rPr>
        <w:t>Veit</w:t>
      </w:r>
      <w:proofErr w:type="spellEnd"/>
      <w:r w:rsidRPr="006218BC">
        <w:rPr>
          <w:lang w:val="en-GB"/>
        </w:rPr>
        <w:t xml:space="preserve"> Harlan und die </w:t>
      </w:r>
      <w:proofErr w:type="spellStart"/>
      <w:r w:rsidRPr="006218BC">
        <w:rPr>
          <w:lang w:val="en-GB"/>
        </w:rPr>
        <w:t>Grundrechtsjudikatur</w:t>
      </w:r>
      <w:proofErr w:type="spellEnd"/>
      <w:r w:rsidRPr="006218BC">
        <w:rPr>
          <w:lang w:val="en-GB"/>
        </w:rPr>
        <w:t xml:space="preserve"> des </w:t>
      </w:r>
      <w:proofErr w:type="spellStart"/>
      <w:r w:rsidRPr="006218BC">
        <w:rPr>
          <w:lang w:val="en-GB"/>
        </w:rPr>
        <w:t>Bundesverfassungsgerichts</w:t>
      </w:r>
      <w:proofErr w:type="spellEnd"/>
      <w:r w:rsidRPr="006218BC">
        <w:rPr>
          <w:lang w:val="en-GB"/>
        </w:rPr>
        <w:t>, Berlin 2005, S. 25ff.</w:t>
      </w:r>
    </w:p>
    <w:p w14:paraId="08C01EC6" w14:textId="00CF6E55" w:rsidR="005C402F" w:rsidRPr="006218BC" w:rsidRDefault="005E2580" w:rsidP="00CD3D33">
      <w:pPr>
        <w:pStyle w:val="Funotentext"/>
        <w:jc w:val="both"/>
        <w:rPr>
          <w:lang w:val="en-GB"/>
        </w:rPr>
      </w:pPr>
      <w:r w:rsidRPr="006218BC">
        <w:rPr>
          <w:i/>
          <w:lang w:val="en-GB"/>
        </w:rPr>
        <w:t>Nowak</w:t>
      </w:r>
      <w:r w:rsidRPr="006218BC">
        <w:rPr>
          <w:lang w:val="en-GB"/>
        </w:rPr>
        <w:t xml:space="preserve">, </w:t>
      </w:r>
      <w:proofErr w:type="spellStart"/>
      <w:r w:rsidRPr="006218BC">
        <w:rPr>
          <w:lang w:val="en-GB"/>
        </w:rPr>
        <w:t>Brauchen</w:t>
      </w:r>
      <w:proofErr w:type="spellEnd"/>
      <w:r w:rsidRPr="006218BC">
        <w:rPr>
          <w:lang w:val="en-GB"/>
        </w:rPr>
        <w:t xml:space="preserve"> </w:t>
      </w:r>
      <w:proofErr w:type="spellStart"/>
      <w:r w:rsidRPr="006218BC">
        <w:rPr>
          <w:lang w:val="en-GB"/>
        </w:rPr>
        <w:t>wir</w:t>
      </w:r>
      <w:proofErr w:type="spellEnd"/>
      <w:r w:rsidRPr="006218BC">
        <w:rPr>
          <w:lang w:val="en-GB"/>
        </w:rPr>
        <w:t xml:space="preserve"> </w:t>
      </w:r>
      <w:proofErr w:type="spellStart"/>
      <w:r w:rsidRPr="006218BC">
        <w:rPr>
          <w:lang w:val="en-GB"/>
        </w:rPr>
        <w:t>eine</w:t>
      </w:r>
      <w:proofErr w:type="spellEnd"/>
      <w:r w:rsidRPr="006218BC">
        <w:rPr>
          <w:lang w:val="en-GB"/>
        </w:rPr>
        <w:t xml:space="preserve"> </w:t>
      </w:r>
      <w:proofErr w:type="spellStart"/>
      <w:r w:rsidRPr="006218BC">
        <w:rPr>
          <w:lang w:val="en-GB"/>
        </w:rPr>
        <w:t>Europäische</w:t>
      </w:r>
      <w:proofErr w:type="spellEnd"/>
      <w:r w:rsidRPr="006218BC">
        <w:rPr>
          <w:lang w:val="en-GB"/>
        </w:rPr>
        <w:t xml:space="preserve"> </w:t>
      </w:r>
      <w:proofErr w:type="spellStart"/>
      <w:r w:rsidRPr="006218BC">
        <w:rPr>
          <w:lang w:val="en-GB"/>
        </w:rPr>
        <w:t>Grundrechtscharta</w:t>
      </w:r>
      <w:proofErr w:type="spellEnd"/>
      <w:r w:rsidRPr="006218BC">
        <w:rPr>
          <w:lang w:val="en-GB"/>
        </w:rPr>
        <w:t xml:space="preserve">, Vol. 3 </w:t>
      </w:r>
      <w:proofErr w:type="spellStart"/>
      <w:r w:rsidRPr="006218BC">
        <w:rPr>
          <w:lang w:val="en-GB"/>
        </w:rPr>
        <w:t>Juridikum</w:t>
      </w:r>
      <w:proofErr w:type="spellEnd"/>
      <w:r w:rsidRPr="006218BC">
        <w:rPr>
          <w:lang w:val="en-GB"/>
        </w:rPr>
        <w:t xml:space="preserve"> 2000, p. 176-178.</w:t>
      </w:r>
    </w:p>
    <w:p w14:paraId="20B1B4AB" w14:textId="5C6CBA25" w:rsidR="005E2580" w:rsidRPr="006218BC" w:rsidRDefault="00804F08" w:rsidP="00CD3D33">
      <w:pPr>
        <w:pStyle w:val="Funotentext"/>
        <w:jc w:val="both"/>
        <w:rPr>
          <w:lang w:val="en-GB"/>
        </w:rPr>
      </w:pPr>
      <w:proofErr w:type="spellStart"/>
      <w:r w:rsidRPr="006218BC">
        <w:rPr>
          <w:i/>
          <w:lang w:val="en-GB"/>
        </w:rPr>
        <w:t>Nykios</w:t>
      </w:r>
      <w:proofErr w:type="spellEnd"/>
      <w:r w:rsidRPr="006218BC">
        <w:rPr>
          <w:lang w:val="en-GB"/>
        </w:rPr>
        <w:t xml:space="preserve">, The Preliminary Reference Process: National Court Implementation, Changing Opportunity Structures and Litigant </w:t>
      </w:r>
      <w:proofErr w:type="spellStart"/>
      <w:r w:rsidRPr="006218BC">
        <w:rPr>
          <w:lang w:val="en-GB"/>
        </w:rPr>
        <w:t>Desistment</w:t>
      </w:r>
      <w:proofErr w:type="spellEnd"/>
      <w:r w:rsidRPr="006218BC">
        <w:rPr>
          <w:lang w:val="en-GB"/>
        </w:rPr>
        <w:t xml:space="preserve">,  </w:t>
      </w:r>
      <w:r w:rsidR="00B530B1" w:rsidRPr="006218BC">
        <w:rPr>
          <w:lang w:val="en-GB"/>
        </w:rPr>
        <w:t>Vol. 4 No. 4</w:t>
      </w:r>
      <w:r w:rsidRPr="006218BC">
        <w:rPr>
          <w:lang w:val="en-GB"/>
        </w:rPr>
        <w:t xml:space="preserve"> </w:t>
      </w:r>
      <w:r w:rsidR="00B530B1" w:rsidRPr="006218BC">
        <w:rPr>
          <w:lang w:val="en-GB"/>
        </w:rPr>
        <w:t xml:space="preserve">European Union Politics </w:t>
      </w:r>
      <w:r w:rsidRPr="006218BC">
        <w:rPr>
          <w:lang w:val="en-GB"/>
        </w:rPr>
        <w:t>2003, p. 410.</w:t>
      </w:r>
    </w:p>
    <w:p w14:paraId="4E37B80C" w14:textId="67019851" w:rsidR="00184D7D" w:rsidRPr="006218BC" w:rsidRDefault="00804F08" w:rsidP="00184D7D">
      <w:pPr>
        <w:pStyle w:val="Funotentext"/>
        <w:jc w:val="both"/>
        <w:rPr>
          <w:lang w:val="en-GB"/>
        </w:rPr>
      </w:pPr>
      <w:proofErr w:type="spellStart"/>
      <w:r w:rsidRPr="006218BC">
        <w:rPr>
          <w:rFonts w:cs="Times New Roman"/>
          <w:i/>
          <w:lang w:val="en-GB"/>
        </w:rPr>
        <w:t>Pescatore</w:t>
      </w:r>
      <w:proofErr w:type="spellEnd"/>
      <w:r w:rsidR="003016BA" w:rsidRPr="006218BC">
        <w:rPr>
          <w:lang w:val="en-GB"/>
        </w:rPr>
        <w:t>,</w:t>
      </w:r>
      <w:r w:rsidRPr="006218BC">
        <w:rPr>
          <w:lang w:val="en-GB"/>
        </w:rPr>
        <w:t xml:space="preserve"> The Doctrine of Direct Effect: An infant Disease of Community Law, </w:t>
      </w:r>
      <w:r w:rsidR="00C362BB" w:rsidRPr="006218BC">
        <w:rPr>
          <w:lang w:val="en-GB"/>
        </w:rPr>
        <w:t>V</w:t>
      </w:r>
      <w:r w:rsidR="00D352FC">
        <w:rPr>
          <w:lang w:val="en-GB"/>
        </w:rPr>
        <w:t>ol. 8</w:t>
      </w:r>
      <w:r w:rsidR="00E12D99">
        <w:rPr>
          <w:lang w:val="en-GB"/>
        </w:rPr>
        <w:t xml:space="preserve"> European Law Review 1983, 155-177</w:t>
      </w:r>
      <w:r w:rsidR="00D352FC">
        <w:rPr>
          <w:lang w:val="en-GB"/>
        </w:rPr>
        <w:t>.</w:t>
      </w:r>
      <w:r w:rsidR="00184D7D" w:rsidRPr="00262D68">
        <w:rPr>
          <w:b/>
          <w:color w:val="0000FF"/>
          <w:u w:val="single"/>
          <w:lang w:val="en-GB"/>
        </w:rPr>
        <w:t xml:space="preserve"> </w:t>
      </w:r>
    </w:p>
    <w:p w14:paraId="63586B09" w14:textId="67A3DED4" w:rsidR="00184D7D" w:rsidRPr="006218BC" w:rsidRDefault="00184D7D" w:rsidP="00CD3D33">
      <w:pPr>
        <w:pStyle w:val="Funotentext"/>
        <w:jc w:val="both"/>
        <w:rPr>
          <w:lang w:val="en-GB"/>
        </w:rPr>
      </w:pPr>
      <w:r w:rsidRPr="006218BC">
        <w:rPr>
          <w:lang w:val="en-GB"/>
        </w:rPr>
        <w:t>Rasmussen, On Law and Policy in the European Court of Justice. A Comparative Study in Judicial Policymaking, Dordrecht 1986.</w:t>
      </w:r>
    </w:p>
    <w:p w14:paraId="48A9F174" w14:textId="3AA0BE31" w:rsidR="001C7EF0" w:rsidRPr="006218BC" w:rsidRDefault="001C7EF0" w:rsidP="00CD3D33">
      <w:pPr>
        <w:pStyle w:val="Funotentext"/>
        <w:jc w:val="both"/>
        <w:rPr>
          <w:lang w:val="en-GB"/>
        </w:rPr>
      </w:pPr>
      <w:proofErr w:type="spellStart"/>
      <w:r w:rsidRPr="006218BC">
        <w:rPr>
          <w:i/>
          <w:lang w:val="en-GB"/>
        </w:rPr>
        <w:t>Rengeling</w:t>
      </w:r>
      <w:proofErr w:type="spellEnd"/>
      <w:r w:rsidRPr="006218BC">
        <w:rPr>
          <w:i/>
          <w:lang w:val="en-GB"/>
        </w:rPr>
        <w:t>/</w:t>
      </w:r>
      <w:proofErr w:type="spellStart"/>
      <w:r w:rsidRPr="006218BC">
        <w:rPr>
          <w:i/>
          <w:lang w:val="en-GB"/>
        </w:rPr>
        <w:t>Szczekalla</w:t>
      </w:r>
      <w:proofErr w:type="spellEnd"/>
      <w:r w:rsidRPr="006218BC">
        <w:rPr>
          <w:lang w:val="en-GB"/>
        </w:rPr>
        <w:t xml:space="preserve">, </w:t>
      </w:r>
      <w:proofErr w:type="spellStart"/>
      <w:r w:rsidRPr="006218BC">
        <w:rPr>
          <w:lang w:val="en-GB"/>
        </w:rPr>
        <w:t>Grundrechte</w:t>
      </w:r>
      <w:proofErr w:type="spellEnd"/>
      <w:r w:rsidRPr="006218BC">
        <w:rPr>
          <w:lang w:val="en-GB"/>
        </w:rPr>
        <w:t xml:space="preserve"> in der </w:t>
      </w:r>
      <w:proofErr w:type="spellStart"/>
      <w:r w:rsidRPr="006218BC">
        <w:rPr>
          <w:lang w:val="en-GB"/>
        </w:rPr>
        <w:t>Europäischen</w:t>
      </w:r>
      <w:proofErr w:type="spellEnd"/>
      <w:r w:rsidRPr="006218BC">
        <w:rPr>
          <w:lang w:val="en-GB"/>
        </w:rPr>
        <w:t xml:space="preserve"> Union. Charta der </w:t>
      </w:r>
      <w:proofErr w:type="spellStart"/>
      <w:r w:rsidRPr="006218BC">
        <w:rPr>
          <w:lang w:val="en-GB"/>
        </w:rPr>
        <w:t>Grundrechte</w:t>
      </w:r>
      <w:proofErr w:type="spellEnd"/>
      <w:r w:rsidRPr="006218BC">
        <w:rPr>
          <w:lang w:val="en-GB"/>
        </w:rPr>
        <w:t xml:space="preserve"> und </w:t>
      </w:r>
      <w:proofErr w:type="spellStart"/>
      <w:r w:rsidRPr="006218BC">
        <w:rPr>
          <w:lang w:val="en-GB"/>
        </w:rPr>
        <w:t>Allgemeine</w:t>
      </w:r>
      <w:proofErr w:type="spellEnd"/>
      <w:r w:rsidRPr="006218BC">
        <w:rPr>
          <w:lang w:val="en-GB"/>
        </w:rPr>
        <w:t xml:space="preserve"> </w:t>
      </w:r>
      <w:proofErr w:type="spellStart"/>
      <w:r w:rsidRPr="006218BC">
        <w:rPr>
          <w:lang w:val="en-GB"/>
        </w:rPr>
        <w:t>Rechtsgrundsätze</w:t>
      </w:r>
      <w:proofErr w:type="spellEnd"/>
      <w:r w:rsidRPr="006218BC">
        <w:rPr>
          <w:lang w:val="en-GB"/>
        </w:rPr>
        <w:t>, Köln 2004.</w:t>
      </w:r>
    </w:p>
    <w:p w14:paraId="264238BA" w14:textId="7C1344C5" w:rsidR="00804F08" w:rsidRPr="006218BC" w:rsidRDefault="00804F08" w:rsidP="00CD3D33">
      <w:pPr>
        <w:pStyle w:val="Funotentext"/>
        <w:jc w:val="both"/>
        <w:rPr>
          <w:lang w:val="en-GB"/>
        </w:rPr>
      </w:pPr>
      <w:r w:rsidRPr="006218BC">
        <w:rPr>
          <w:i/>
          <w:lang w:val="en-GB"/>
        </w:rPr>
        <w:t>Rosenfeld</w:t>
      </w:r>
      <w:r w:rsidRPr="006218BC">
        <w:rPr>
          <w:lang w:val="en-GB"/>
        </w:rPr>
        <w:t>, Comparing Constitutional Review by the European Court of Justice and the U.S. Supreme Courts, International Jou</w:t>
      </w:r>
      <w:r w:rsidR="00F21E2E" w:rsidRPr="006218BC">
        <w:rPr>
          <w:lang w:val="en-GB"/>
        </w:rPr>
        <w:t>rnal of Constitutional Law 2006, p. 33-63.</w:t>
      </w:r>
    </w:p>
    <w:p w14:paraId="4E0CD306" w14:textId="48E11DF8" w:rsidR="001D1B74" w:rsidRPr="006218BC" w:rsidRDefault="001D1B74" w:rsidP="00CD3D33">
      <w:pPr>
        <w:pStyle w:val="Funotentext"/>
        <w:jc w:val="both"/>
        <w:rPr>
          <w:lang w:val="en-GB"/>
        </w:rPr>
      </w:pPr>
      <w:r w:rsidRPr="006218BC">
        <w:rPr>
          <w:i/>
          <w:lang w:val="en-GB"/>
        </w:rPr>
        <w:t>Shapiro</w:t>
      </w:r>
      <w:r w:rsidRPr="006218BC">
        <w:rPr>
          <w:lang w:val="en-GB"/>
        </w:rPr>
        <w:t>, Comparative Law and Comparative Politics, Vol. 53</w:t>
      </w:r>
      <w:r w:rsidR="0005534C" w:rsidRPr="006218BC">
        <w:rPr>
          <w:lang w:val="en-GB"/>
        </w:rPr>
        <w:t xml:space="preserve"> Southern</w:t>
      </w:r>
      <w:r w:rsidRPr="006218BC">
        <w:rPr>
          <w:lang w:val="en-GB"/>
        </w:rPr>
        <w:t xml:space="preserve"> California Law Review 1980,  p. 537-542.</w:t>
      </w:r>
    </w:p>
    <w:p w14:paraId="0568BA76" w14:textId="429843C5" w:rsidR="006239FF" w:rsidRPr="006218BC" w:rsidRDefault="006239FF" w:rsidP="00CD3D33">
      <w:pPr>
        <w:pStyle w:val="Funotentext"/>
        <w:jc w:val="both"/>
        <w:rPr>
          <w:lang w:val="en-GB"/>
        </w:rPr>
      </w:pPr>
      <w:proofErr w:type="spellStart"/>
      <w:r w:rsidRPr="006218BC">
        <w:rPr>
          <w:i/>
          <w:lang w:val="en-GB"/>
        </w:rPr>
        <w:t>Stelzer</w:t>
      </w:r>
      <w:proofErr w:type="spellEnd"/>
      <w:r w:rsidRPr="006218BC">
        <w:rPr>
          <w:lang w:val="en-GB"/>
        </w:rPr>
        <w:t xml:space="preserve">, </w:t>
      </w:r>
      <w:proofErr w:type="spellStart"/>
      <w:r w:rsidRPr="006218BC">
        <w:rPr>
          <w:lang w:val="en-GB"/>
        </w:rPr>
        <w:t>Grundzüge</w:t>
      </w:r>
      <w:proofErr w:type="spellEnd"/>
      <w:r w:rsidRPr="006218BC">
        <w:rPr>
          <w:lang w:val="en-GB"/>
        </w:rPr>
        <w:t xml:space="preserve"> des </w:t>
      </w:r>
      <w:proofErr w:type="spellStart"/>
      <w:r w:rsidRPr="006218BC">
        <w:rPr>
          <w:lang w:val="en-GB"/>
        </w:rPr>
        <w:t>öffentlichen</w:t>
      </w:r>
      <w:proofErr w:type="spellEnd"/>
      <w:r w:rsidRPr="006218BC">
        <w:rPr>
          <w:lang w:val="en-GB"/>
        </w:rPr>
        <w:t xml:space="preserve"> </w:t>
      </w:r>
      <w:proofErr w:type="spellStart"/>
      <w:r w:rsidRPr="006218BC">
        <w:rPr>
          <w:lang w:val="en-GB"/>
        </w:rPr>
        <w:t>Rechts</w:t>
      </w:r>
      <w:proofErr w:type="spellEnd"/>
      <w:r w:rsidRPr="006218BC">
        <w:rPr>
          <w:lang w:val="en-GB"/>
        </w:rPr>
        <w:t>, Wien 2014.</w:t>
      </w:r>
    </w:p>
    <w:p w14:paraId="485366CB" w14:textId="3AAD11D6" w:rsidR="008B6480" w:rsidRPr="006218BC" w:rsidRDefault="008B6480" w:rsidP="00CD3D33">
      <w:pPr>
        <w:pStyle w:val="Funotentext"/>
        <w:jc w:val="both"/>
        <w:rPr>
          <w:lang w:val="en-GB"/>
        </w:rPr>
      </w:pPr>
      <w:r w:rsidRPr="006218BC">
        <w:rPr>
          <w:i/>
          <w:lang w:val="en-GB"/>
        </w:rPr>
        <w:t>Wahl</w:t>
      </w:r>
      <w:r w:rsidR="006239FF" w:rsidRPr="006218BC">
        <w:rPr>
          <w:lang w:val="en-GB"/>
        </w:rPr>
        <w:t xml:space="preserve">, </w:t>
      </w:r>
      <w:proofErr w:type="spellStart"/>
      <w:r w:rsidR="006239FF" w:rsidRPr="006218BC">
        <w:rPr>
          <w:lang w:val="en-GB"/>
        </w:rPr>
        <w:t>Lüth</w:t>
      </w:r>
      <w:proofErr w:type="spellEnd"/>
      <w:r w:rsidR="006239FF" w:rsidRPr="006218BC">
        <w:rPr>
          <w:lang w:val="en-GB"/>
        </w:rPr>
        <w:t xml:space="preserve"> und die </w:t>
      </w:r>
      <w:proofErr w:type="spellStart"/>
      <w:r w:rsidR="006239FF" w:rsidRPr="006218BC">
        <w:rPr>
          <w:lang w:val="en-GB"/>
        </w:rPr>
        <w:t>Folgen</w:t>
      </w:r>
      <w:proofErr w:type="spellEnd"/>
      <w:r w:rsidR="006239FF" w:rsidRPr="006218BC">
        <w:rPr>
          <w:lang w:val="en-GB"/>
        </w:rPr>
        <w:t xml:space="preserve">, in: </w:t>
      </w:r>
      <w:proofErr w:type="spellStart"/>
      <w:r w:rsidRPr="006218BC">
        <w:rPr>
          <w:lang w:val="en-GB"/>
        </w:rPr>
        <w:t>Henne</w:t>
      </w:r>
      <w:proofErr w:type="spellEnd"/>
      <w:r w:rsidRPr="006218BC">
        <w:rPr>
          <w:lang w:val="en-GB"/>
        </w:rPr>
        <w:t>/</w:t>
      </w:r>
      <w:proofErr w:type="spellStart"/>
      <w:r w:rsidRPr="006218BC">
        <w:rPr>
          <w:lang w:val="en-GB"/>
        </w:rPr>
        <w:t>Riederlinger</w:t>
      </w:r>
      <w:proofErr w:type="spellEnd"/>
      <w:r w:rsidRPr="006218BC">
        <w:rPr>
          <w:lang w:val="en-GB"/>
        </w:rPr>
        <w:t xml:space="preserve"> (</w:t>
      </w:r>
      <w:r w:rsidR="00032367">
        <w:rPr>
          <w:lang w:val="en-GB"/>
        </w:rPr>
        <w:t>ed</w:t>
      </w:r>
      <w:r w:rsidRPr="006218BC">
        <w:rPr>
          <w:lang w:val="en-GB"/>
        </w:rPr>
        <w:t xml:space="preserve">.), Das </w:t>
      </w:r>
      <w:proofErr w:type="spellStart"/>
      <w:r w:rsidRPr="006218BC">
        <w:rPr>
          <w:lang w:val="en-GB"/>
        </w:rPr>
        <w:t>Lüth-Urteil</w:t>
      </w:r>
      <w:proofErr w:type="spellEnd"/>
      <w:r w:rsidRPr="006218BC">
        <w:rPr>
          <w:lang w:val="en-GB"/>
        </w:rPr>
        <w:t xml:space="preserve"> </w:t>
      </w:r>
      <w:proofErr w:type="spellStart"/>
      <w:r w:rsidRPr="006218BC">
        <w:rPr>
          <w:lang w:val="en-GB"/>
        </w:rPr>
        <w:t>aus</w:t>
      </w:r>
      <w:proofErr w:type="spellEnd"/>
      <w:r w:rsidRPr="006218BC">
        <w:rPr>
          <w:lang w:val="en-GB"/>
        </w:rPr>
        <w:t xml:space="preserve"> (</w:t>
      </w:r>
      <w:proofErr w:type="spellStart"/>
      <w:r w:rsidRPr="006218BC">
        <w:rPr>
          <w:lang w:val="en-GB"/>
        </w:rPr>
        <w:t>rechts</w:t>
      </w:r>
      <w:proofErr w:type="spellEnd"/>
      <w:r w:rsidRPr="006218BC">
        <w:rPr>
          <w:lang w:val="en-GB"/>
        </w:rPr>
        <w:t xml:space="preserve">-) </w:t>
      </w:r>
      <w:proofErr w:type="spellStart"/>
      <w:r w:rsidRPr="006218BC">
        <w:rPr>
          <w:lang w:val="en-GB"/>
        </w:rPr>
        <w:t>historischer</w:t>
      </w:r>
      <w:proofErr w:type="spellEnd"/>
      <w:r w:rsidRPr="006218BC">
        <w:rPr>
          <w:lang w:val="en-GB"/>
        </w:rPr>
        <w:t xml:space="preserve"> </w:t>
      </w:r>
      <w:proofErr w:type="spellStart"/>
      <w:r w:rsidRPr="006218BC">
        <w:rPr>
          <w:lang w:val="en-GB"/>
        </w:rPr>
        <w:t>Sicht</w:t>
      </w:r>
      <w:proofErr w:type="spellEnd"/>
      <w:r w:rsidRPr="006218BC">
        <w:rPr>
          <w:lang w:val="en-GB"/>
        </w:rPr>
        <w:t>, Berlin 2005, p. 385.</w:t>
      </w:r>
    </w:p>
    <w:p w14:paraId="1EF49C92" w14:textId="28B800FB" w:rsidR="006239FF" w:rsidRPr="006218BC" w:rsidRDefault="006239FF" w:rsidP="00CD3D33">
      <w:pPr>
        <w:pStyle w:val="Funotentext"/>
        <w:jc w:val="both"/>
        <w:rPr>
          <w:lang w:val="en-GB"/>
        </w:rPr>
      </w:pPr>
      <w:proofErr w:type="spellStart"/>
      <w:r w:rsidRPr="006218BC">
        <w:rPr>
          <w:i/>
          <w:lang w:val="en-GB"/>
        </w:rPr>
        <w:t>Weiler</w:t>
      </w:r>
      <w:proofErr w:type="spellEnd"/>
      <w:r w:rsidRPr="006218BC">
        <w:rPr>
          <w:lang w:val="en-GB"/>
        </w:rPr>
        <w:t>, The Transformation of Europ</w:t>
      </w:r>
      <w:r w:rsidR="00032367">
        <w:rPr>
          <w:lang w:val="en-GB"/>
        </w:rPr>
        <w:t>e, Vol. 100 No. 8 Yale Law Jour</w:t>
      </w:r>
      <w:r w:rsidRPr="006218BC">
        <w:rPr>
          <w:lang w:val="en-GB"/>
        </w:rPr>
        <w:t>nal 1991, p. 2403-2483.</w:t>
      </w:r>
    </w:p>
    <w:p w14:paraId="117A2331" w14:textId="77777777" w:rsidR="00804F08" w:rsidRPr="006218BC" w:rsidRDefault="00804F08" w:rsidP="00FE469B">
      <w:pPr>
        <w:spacing w:line="360" w:lineRule="auto"/>
        <w:jc w:val="both"/>
        <w:rPr>
          <w:lang w:val="en-GB"/>
        </w:rPr>
      </w:pPr>
    </w:p>
    <w:sectPr w:rsidR="00804F08" w:rsidRPr="006218BC" w:rsidSect="00E423A6">
      <w:footerReference w:type="even" r:id="rId10"/>
      <w:footerReference w:type="default" r:id="rId11"/>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71724" w14:textId="77777777" w:rsidR="008C7313" w:rsidRDefault="008C7313" w:rsidP="00BA55B6">
      <w:r>
        <w:separator/>
      </w:r>
    </w:p>
  </w:endnote>
  <w:endnote w:type="continuationSeparator" w:id="0">
    <w:p w14:paraId="029E8B6D" w14:textId="77777777" w:rsidR="008C7313" w:rsidRDefault="008C7313" w:rsidP="00BA5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75A93" w14:textId="77777777" w:rsidR="008C7313" w:rsidRDefault="008C7313" w:rsidP="003F35F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98230CF" w14:textId="77777777" w:rsidR="008C7313" w:rsidRDefault="008C7313" w:rsidP="003F35FD">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7D605" w14:textId="77777777" w:rsidR="008C7313" w:rsidRDefault="008C7313" w:rsidP="003F35F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33324">
      <w:rPr>
        <w:rStyle w:val="Seitenzahl"/>
        <w:noProof/>
      </w:rPr>
      <w:t>24</w:t>
    </w:r>
    <w:r>
      <w:rPr>
        <w:rStyle w:val="Seitenzahl"/>
      </w:rPr>
      <w:fldChar w:fldCharType="end"/>
    </w:r>
  </w:p>
  <w:p w14:paraId="04CDB0E4" w14:textId="77777777" w:rsidR="008C7313" w:rsidRDefault="008C7313" w:rsidP="003F35FD">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DC04C" w14:textId="77777777" w:rsidR="008C7313" w:rsidRDefault="008C7313" w:rsidP="00BA55B6">
      <w:r>
        <w:separator/>
      </w:r>
    </w:p>
  </w:footnote>
  <w:footnote w:type="continuationSeparator" w:id="0">
    <w:p w14:paraId="61F8433C" w14:textId="77777777" w:rsidR="008C7313" w:rsidRDefault="008C7313" w:rsidP="00BA55B6">
      <w:r>
        <w:continuationSeparator/>
      </w:r>
    </w:p>
  </w:footnote>
  <w:footnote w:id="1">
    <w:p w14:paraId="65D98CCA" w14:textId="16DAB472" w:rsidR="008C7313" w:rsidRPr="00987D8D" w:rsidRDefault="008C7313" w:rsidP="00804F08">
      <w:pPr>
        <w:rPr>
          <w:sz w:val="20"/>
          <w:szCs w:val="20"/>
          <w:lang w:val="en-GB"/>
        </w:rPr>
      </w:pPr>
      <w:r w:rsidRPr="00987D8D">
        <w:rPr>
          <w:rStyle w:val="Funotenzeichen"/>
          <w:sz w:val="20"/>
          <w:szCs w:val="20"/>
          <w:lang w:val="en-GB"/>
        </w:rPr>
        <w:footnoteRef/>
      </w:r>
      <w:r w:rsidRPr="00987D8D">
        <w:rPr>
          <w:sz w:val="20"/>
          <w:szCs w:val="20"/>
          <w:lang w:val="en-GB"/>
        </w:rPr>
        <w:t xml:space="preserve"> Alter, Establishing Supremacy, p. 229; similar Rosenfeld, Comparing Constitutional Review, p. 48.</w:t>
      </w:r>
    </w:p>
  </w:footnote>
  <w:footnote w:id="2">
    <w:p w14:paraId="15CF5B45" w14:textId="606D3E56" w:rsidR="008C7313" w:rsidRPr="00987D8D" w:rsidRDefault="008C7313" w:rsidP="00804F08">
      <w:pPr>
        <w:pStyle w:val="Funotentext"/>
        <w:rPr>
          <w:sz w:val="20"/>
          <w:szCs w:val="20"/>
          <w:lang w:val="en-GB"/>
        </w:rPr>
      </w:pPr>
      <w:r w:rsidRPr="00987D8D">
        <w:rPr>
          <w:rStyle w:val="Funotenzeichen"/>
          <w:sz w:val="20"/>
          <w:szCs w:val="20"/>
          <w:lang w:val="en-GB"/>
        </w:rPr>
        <w:footnoteRef/>
      </w:r>
      <w:r w:rsidRPr="00987D8D">
        <w:rPr>
          <w:sz w:val="20"/>
          <w:szCs w:val="20"/>
          <w:lang w:val="en-GB"/>
        </w:rPr>
        <w:t xml:space="preserve"> Conway, Legal Reasoning, p. 90. </w:t>
      </w:r>
    </w:p>
  </w:footnote>
  <w:footnote w:id="3">
    <w:p w14:paraId="72DC1E0A" w14:textId="7883E19B" w:rsidR="008C7313" w:rsidRPr="00987D8D" w:rsidRDefault="008C7313" w:rsidP="00804F08">
      <w:pPr>
        <w:pStyle w:val="Funotentext"/>
        <w:rPr>
          <w:lang w:val="en-GB"/>
        </w:rPr>
      </w:pPr>
      <w:r w:rsidRPr="00987D8D">
        <w:rPr>
          <w:rStyle w:val="Funotenzeichen"/>
          <w:sz w:val="20"/>
          <w:szCs w:val="20"/>
          <w:lang w:val="en-GB"/>
        </w:rPr>
        <w:footnoteRef/>
      </w:r>
      <w:r w:rsidRPr="00987D8D">
        <w:rPr>
          <w:sz w:val="20"/>
          <w:szCs w:val="20"/>
          <w:lang w:val="en-GB"/>
        </w:rPr>
        <w:t xml:space="preserve"> Conway, Legal Reasoning, p. 90.</w:t>
      </w:r>
    </w:p>
  </w:footnote>
  <w:footnote w:id="4">
    <w:p w14:paraId="05F6B5EA" w14:textId="55A35C27" w:rsidR="008C7313" w:rsidRPr="00987D8D" w:rsidRDefault="008C7313">
      <w:pPr>
        <w:pStyle w:val="Funotentext"/>
        <w:rPr>
          <w:sz w:val="20"/>
          <w:szCs w:val="20"/>
          <w:lang w:val="en-GB"/>
        </w:rPr>
      </w:pPr>
      <w:r w:rsidRPr="00987D8D">
        <w:rPr>
          <w:rStyle w:val="Funotenzeichen"/>
          <w:sz w:val="20"/>
          <w:szCs w:val="20"/>
          <w:lang w:val="en-GB"/>
        </w:rPr>
        <w:footnoteRef/>
      </w:r>
      <w:r w:rsidRPr="00987D8D">
        <w:rPr>
          <w:sz w:val="20"/>
          <w:szCs w:val="20"/>
          <w:lang w:val="en-GB"/>
        </w:rPr>
        <w:t xml:space="preserve"> Conway dismissed this thought because of the more „contested“ nature of fundamental rights as a concept. See Conway, Legal Reasoning, p. 90.</w:t>
      </w:r>
    </w:p>
  </w:footnote>
  <w:footnote w:id="5">
    <w:p w14:paraId="3410C2A7" w14:textId="1EB4F3A9" w:rsidR="008C7313" w:rsidRDefault="008C7313" w:rsidP="00A73423">
      <w:pPr>
        <w:pStyle w:val="FN"/>
      </w:pPr>
      <w:r w:rsidRPr="00987D8D">
        <w:rPr>
          <w:rStyle w:val="Funotenzeichen"/>
          <w:lang w:val="en-GB"/>
        </w:rPr>
        <w:footnoteRef/>
      </w:r>
      <w:r w:rsidRPr="00987D8D">
        <w:rPr>
          <w:lang w:val="en-GB"/>
        </w:rPr>
        <w:t xml:space="preserve"> </w:t>
      </w:r>
      <w:proofErr w:type="spellStart"/>
      <w:r w:rsidRPr="00987D8D">
        <w:rPr>
          <w:lang w:val="en-GB"/>
        </w:rPr>
        <w:t>Weiler</w:t>
      </w:r>
      <w:proofErr w:type="spellEnd"/>
      <w:r w:rsidRPr="00987D8D">
        <w:rPr>
          <w:lang w:val="en-GB"/>
        </w:rPr>
        <w:t>, The Transformation of Europe, p. 2426.</w:t>
      </w:r>
    </w:p>
  </w:footnote>
  <w:footnote w:id="6">
    <w:p w14:paraId="6E397E2D" w14:textId="77777777" w:rsidR="008C7313" w:rsidRPr="00386384" w:rsidRDefault="008C7313" w:rsidP="00987D8D">
      <w:pPr>
        <w:pStyle w:val="Funotentext"/>
        <w:rPr>
          <w:sz w:val="20"/>
          <w:szCs w:val="20"/>
          <w:lang w:val="en-GB"/>
        </w:rPr>
      </w:pPr>
      <w:r w:rsidRPr="00386384">
        <w:rPr>
          <w:rStyle w:val="Funotenzeichen"/>
          <w:sz w:val="20"/>
          <w:szCs w:val="20"/>
          <w:lang w:val="en-GB"/>
        </w:rPr>
        <w:footnoteRef/>
      </w:r>
      <w:r w:rsidRPr="00386384">
        <w:rPr>
          <w:sz w:val="20"/>
          <w:szCs w:val="20"/>
          <w:lang w:val="en-GB"/>
        </w:rPr>
        <w:t xml:space="preserve"> </w:t>
      </w:r>
      <w:proofErr w:type="spellStart"/>
      <w:r w:rsidRPr="00386384">
        <w:rPr>
          <w:sz w:val="20"/>
          <w:szCs w:val="20"/>
          <w:lang w:val="en-GB"/>
        </w:rPr>
        <w:t>Weiler</w:t>
      </w:r>
      <w:proofErr w:type="spellEnd"/>
      <w:r w:rsidRPr="00386384">
        <w:rPr>
          <w:sz w:val="20"/>
          <w:szCs w:val="20"/>
          <w:lang w:val="en-GB"/>
        </w:rPr>
        <w:t>, The Transformation of Europe, p. 2410.</w:t>
      </w:r>
    </w:p>
  </w:footnote>
  <w:footnote w:id="7">
    <w:p w14:paraId="1314947A" w14:textId="77777777" w:rsidR="008C7313" w:rsidRPr="00386384" w:rsidRDefault="008C7313">
      <w:pPr>
        <w:pStyle w:val="Funotentext"/>
        <w:rPr>
          <w:sz w:val="20"/>
          <w:szCs w:val="20"/>
          <w:lang w:val="en-GB"/>
        </w:rPr>
      </w:pPr>
      <w:r w:rsidRPr="00386384">
        <w:rPr>
          <w:rStyle w:val="Funotenzeichen"/>
          <w:sz w:val="20"/>
          <w:szCs w:val="20"/>
          <w:lang w:val="en-GB"/>
        </w:rPr>
        <w:footnoteRef/>
      </w:r>
      <w:r w:rsidRPr="00386384">
        <w:rPr>
          <w:sz w:val="20"/>
          <w:szCs w:val="20"/>
          <w:lang w:val="en-GB"/>
        </w:rPr>
        <w:t xml:space="preserve"> Cs 26/62 Van </w:t>
      </w:r>
      <w:proofErr w:type="spellStart"/>
      <w:r w:rsidRPr="00386384">
        <w:rPr>
          <w:sz w:val="20"/>
          <w:szCs w:val="20"/>
          <w:lang w:val="en-GB"/>
        </w:rPr>
        <w:t>Gend</w:t>
      </w:r>
      <w:proofErr w:type="spellEnd"/>
      <w:r w:rsidRPr="00386384">
        <w:rPr>
          <w:sz w:val="20"/>
          <w:szCs w:val="20"/>
          <w:lang w:val="en-GB"/>
        </w:rPr>
        <w:t xml:space="preserve"> en Loos v </w:t>
      </w:r>
      <w:proofErr w:type="spellStart"/>
      <w:r w:rsidRPr="00386384">
        <w:rPr>
          <w:sz w:val="20"/>
          <w:szCs w:val="20"/>
          <w:lang w:val="en-GB"/>
        </w:rPr>
        <w:t>Nederlandse</w:t>
      </w:r>
      <w:proofErr w:type="spellEnd"/>
      <w:r w:rsidRPr="00386384">
        <w:rPr>
          <w:sz w:val="20"/>
          <w:szCs w:val="20"/>
          <w:lang w:val="en-GB"/>
        </w:rPr>
        <w:t xml:space="preserve"> </w:t>
      </w:r>
      <w:proofErr w:type="spellStart"/>
      <w:r w:rsidRPr="00386384">
        <w:rPr>
          <w:sz w:val="20"/>
          <w:szCs w:val="20"/>
          <w:lang w:val="en-GB"/>
        </w:rPr>
        <w:t>Administratie</w:t>
      </w:r>
      <w:proofErr w:type="spellEnd"/>
      <w:r w:rsidRPr="00386384">
        <w:rPr>
          <w:sz w:val="20"/>
          <w:szCs w:val="20"/>
          <w:lang w:val="en-GB"/>
        </w:rPr>
        <w:t xml:space="preserve"> der </w:t>
      </w:r>
      <w:proofErr w:type="spellStart"/>
      <w:r w:rsidRPr="00386384">
        <w:rPr>
          <w:sz w:val="20"/>
          <w:szCs w:val="20"/>
          <w:lang w:val="en-GB"/>
        </w:rPr>
        <w:t>Belastingen</w:t>
      </w:r>
      <w:proofErr w:type="spellEnd"/>
      <w:r w:rsidRPr="00386384">
        <w:rPr>
          <w:sz w:val="20"/>
          <w:szCs w:val="20"/>
          <w:lang w:val="en-GB"/>
        </w:rPr>
        <w:t xml:space="preserve"> (1963) ECR 1.</w:t>
      </w:r>
    </w:p>
  </w:footnote>
  <w:footnote w:id="8">
    <w:p w14:paraId="1790C2CC" w14:textId="7001741D" w:rsidR="008C7313" w:rsidRPr="00386384" w:rsidRDefault="008C7313">
      <w:pPr>
        <w:pStyle w:val="Funotentext"/>
        <w:rPr>
          <w:sz w:val="20"/>
          <w:szCs w:val="20"/>
          <w:lang w:val="en-GB"/>
        </w:rPr>
      </w:pPr>
      <w:r w:rsidRPr="00386384">
        <w:rPr>
          <w:rStyle w:val="Funotenzeichen"/>
          <w:sz w:val="20"/>
          <w:szCs w:val="20"/>
          <w:lang w:val="en-GB"/>
        </w:rPr>
        <w:footnoteRef/>
      </w:r>
      <w:r w:rsidRPr="00386384">
        <w:rPr>
          <w:sz w:val="20"/>
          <w:szCs w:val="20"/>
          <w:lang w:val="en-GB"/>
        </w:rPr>
        <w:t xml:space="preserve"> Cs 6/64 </w:t>
      </w:r>
      <w:proofErr w:type="spellStart"/>
      <w:r w:rsidRPr="00386384">
        <w:rPr>
          <w:sz w:val="20"/>
          <w:szCs w:val="20"/>
          <w:lang w:val="en-GB"/>
        </w:rPr>
        <w:t>Flaminio</w:t>
      </w:r>
      <w:proofErr w:type="spellEnd"/>
      <w:r w:rsidRPr="00386384">
        <w:rPr>
          <w:sz w:val="20"/>
          <w:szCs w:val="20"/>
          <w:lang w:val="en-GB"/>
        </w:rPr>
        <w:t xml:space="preserve"> Costa v E.N.E.L. (1964) ECR 585.</w:t>
      </w:r>
    </w:p>
  </w:footnote>
  <w:footnote w:id="9">
    <w:p w14:paraId="278DC19C" w14:textId="77777777" w:rsidR="008C7313" w:rsidRPr="00386384" w:rsidRDefault="008C7313">
      <w:pPr>
        <w:pStyle w:val="Funotentext"/>
        <w:rPr>
          <w:sz w:val="20"/>
          <w:szCs w:val="20"/>
          <w:lang w:val="en-GB"/>
        </w:rPr>
      </w:pPr>
      <w:r w:rsidRPr="00386384">
        <w:rPr>
          <w:rStyle w:val="Funotenzeichen"/>
          <w:sz w:val="20"/>
          <w:szCs w:val="20"/>
          <w:lang w:val="en-GB"/>
        </w:rPr>
        <w:footnoteRef/>
      </w:r>
      <w:r w:rsidRPr="00386384">
        <w:rPr>
          <w:sz w:val="20"/>
          <w:szCs w:val="20"/>
          <w:lang w:val="en-GB"/>
        </w:rPr>
        <w:t xml:space="preserve"> Chalmers, European Union Law, p. 199.</w:t>
      </w:r>
    </w:p>
  </w:footnote>
  <w:footnote w:id="10">
    <w:p w14:paraId="04494BAD" w14:textId="77777777" w:rsidR="008C7313" w:rsidRPr="00386384" w:rsidRDefault="008C7313">
      <w:pPr>
        <w:pStyle w:val="Funotentext"/>
        <w:rPr>
          <w:sz w:val="20"/>
          <w:szCs w:val="20"/>
          <w:lang w:val="en-GB"/>
        </w:rPr>
      </w:pPr>
      <w:r w:rsidRPr="00386384">
        <w:rPr>
          <w:rStyle w:val="Funotenzeichen"/>
          <w:sz w:val="20"/>
          <w:szCs w:val="20"/>
          <w:lang w:val="en-GB"/>
        </w:rPr>
        <w:footnoteRef/>
      </w:r>
      <w:r w:rsidRPr="00386384">
        <w:rPr>
          <w:sz w:val="20"/>
          <w:szCs w:val="20"/>
          <w:lang w:val="en-GB"/>
        </w:rPr>
        <w:t xml:space="preserve"> Chalmers, European Union Law, p. 200.</w:t>
      </w:r>
    </w:p>
  </w:footnote>
  <w:footnote w:id="11">
    <w:p w14:paraId="0AE8E2B3" w14:textId="77777777" w:rsidR="008C7313" w:rsidRPr="00385312" w:rsidRDefault="008C7313">
      <w:pPr>
        <w:pStyle w:val="Funotentext"/>
        <w:rPr>
          <w:sz w:val="20"/>
          <w:szCs w:val="20"/>
        </w:rPr>
      </w:pPr>
      <w:r w:rsidRPr="00386384">
        <w:rPr>
          <w:rStyle w:val="Funotenzeichen"/>
          <w:sz w:val="20"/>
          <w:szCs w:val="20"/>
          <w:lang w:val="en-GB"/>
        </w:rPr>
        <w:footnoteRef/>
      </w:r>
      <w:r w:rsidRPr="00386384">
        <w:rPr>
          <w:sz w:val="20"/>
          <w:szCs w:val="20"/>
          <w:lang w:val="en-GB"/>
        </w:rPr>
        <w:t xml:space="preserve"> De Witte, Direct Effect, Primacy and the nature of the legal order, p. 324.</w:t>
      </w:r>
    </w:p>
  </w:footnote>
  <w:footnote w:id="12">
    <w:p w14:paraId="234D9F02" w14:textId="77777777" w:rsidR="008C7313" w:rsidRPr="00386384" w:rsidRDefault="008C7313">
      <w:pPr>
        <w:pStyle w:val="Funotentext"/>
        <w:rPr>
          <w:sz w:val="20"/>
          <w:szCs w:val="20"/>
          <w:lang w:val="en-GB"/>
        </w:rPr>
      </w:pPr>
      <w:r w:rsidRPr="00386384">
        <w:rPr>
          <w:rStyle w:val="Funotenzeichen"/>
          <w:sz w:val="20"/>
          <w:szCs w:val="20"/>
          <w:lang w:val="en-GB"/>
        </w:rPr>
        <w:footnoteRef/>
      </w:r>
      <w:r w:rsidRPr="00386384">
        <w:rPr>
          <w:sz w:val="20"/>
          <w:szCs w:val="20"/>
          <w:lang w:val="en-GB"/>
        </w:rPr>
        <w:t xml:space="preserve"> De Witte, Direct Effect, Primacy and the nature of the legal order, p. 325.</w:t>
      </w:r>
    </w:p>
  </w:footnote>
  <w:footnote w:id="13">
    <w:p w14:paraId="73D9C91E" w14:textId="6EA2E75F" w:rsidR="008C7313" w:rsidRPr="00386384" w:rsidRDefault="008C7313">
      <w:pPr>
        <w:pStyle w:val="Funotentext"/>
        <w:rPr>
          <w:sz w:val="20"/>
          <w:szCs w:val="20"/>
          <w:lang w:val="en-GB"/>
        </w:rPr>
      </w:pPr>
      <w:r w:rsidRPr="00386384">
        <w:rPr>
          <w:rStyle w:val="Funotenzeichen"/>
          <w:sz w:val="20"/>
          <w:szCs w:val="20"/>
          <w:lang w:val="en-GB"/>
        </w:rPr>
        <w:footnoteRef/>
      </w:r>
      <w:r w:rsidRPr="00386384">
        <w:rPr>
          <w:sz w:val="20"/>
          <w:szCs w:val="20"/>
          <w:lang w:val="en-GB"/>
        </w:rPr>
        <w:t xml:space="preserve"> Cs 26/62, [1].</w:t>
      </w:r>
    </w:p>
  </w:footnote>
  <w:footnote w:id="14">
    <w:p w14:paraId="4072E224" w14:textId="2CF444B9" w:rsidR="008C7313" w:rsidRPr="00386384" w:rsidRDefault="008C7313">
      <w:pPr>
        <w:pStyle w:val="Funotentext"/>
        <w:rPr>
          <w:sz w:val="20"/>
          <w:szCs w:val="20"/>
          <w:lang w:val="en-GB"/>
        </w:rPr>
      </w:pPr>
      <w:r w:rsidRPr="00386384">
        <w:rPr>
          <w:rStyle w:val="Funotenzeichen"/>
          <w:sz w:val="20"/>
          <w:szCs w:val="20"/>
          <w:lang w:val="en-GB"/>
        </w:rPr>
        <w:footnoteRef/>
      </w:r>
      <w:r w:rsidRPr="00386384">
        <w:rPr>
          <w:sz w:val="20"/>
          <w:szCs w:val="20"/>
          <w:lang w:val="en-GB"/>
        </w:rPr>
        <w:t xml:space="preserve"> Cs 26/62, [6].</w:t>
      </w:r>
    </w:p>
  </w:footnote>
  <w:footnote w:id="15">
    <w:p w14:paraId="125A4B82" w14:textId="146A9244" w:rsidR="008C7313" w:rsidRPr="00386384" w:rsidRDefault="008C7313">
      <w:pPr>
        <w:pStyle w:val="Funotentext"/>
        <w:rPr>
          <w:sz w:val="20"/>
          <w:szCs w:val="20"/>
          <w:lang w:val="en-GB"/>
        </w:rPr>
      </w:pPr>
      <w:r w:rsidRPr="00386384">
        <w:rPr>
          <w:rStyle w:val="Funotenzeichen"/>
          <w:sz w:val="20"/>
          <w:szCs w:val="20"/>
          <w:lang w:val="en-GB"/>
        </w:rPr>
        <w:footnoteRef/>
      </w:r>
      <w:r w:rsidRPr="00386384">
        <w:rPr>
          <w:sz w:val="20"/>
          <w:szCs w:val="20"/>
          <w:lang w:val="en-GB"/>
        </w:rPr>
        <w:t xml:space="preserve"> Cs 26/62, [12].</w:t>
      </w:r>
    </w:p>
  </w:footnote>
  <w:footnote w:id="16">
    <w:p w14:paraId="65B542DB" w14:textId="62ED6057" w:rsidR="008C7313" w:rsidRPr="00386384" w:rsidRDefault="008C7313">
      <w:pPr>
        <w:pStyle w:val="Funotentext"/>
        <w:rPr>
          <w:sz w:val="20"/>
          <w:szCs w:val="20"/>
          <w:lang w:val="en-GB"/>
        </w:rPr>
      </w:pPr>
      <w:r w:rsidRPr="00386384">
        <w:rPr>
          <w:rStyle w:val="Funotenzeichen"/>
          <w:sz w:val="20"/>
          <w:szCs w:val="20"/>
          <w:lang w:val="en-GB"/>
        </w:rPr>
        <w:footnoteRef/>
      </w:r>
      <w:r w:rsidRPr="00386384">
        <w:rPr>
          <w:sz w:val="20"/>
          <w:szCs w:val="20"/>
          <w:lang w:val="en-GB"/>
        </w:rPr>
        <w:t xml:space="preserve"> </w:t>
      </w:r>
      <w:proofErr w:type="spellStart"/>
      <w:r w:rsidRPr="00386384">
        <w:rPr>
          <w:sz w:val="20"/>
          <w:szCs w:val="20"/>
          <w:lang w:val="en-GB"/>
        </w:rPr>
        <w:t>Pescatore</w:t>
      </w:r>
      <w:proofErr w:type="spellEnd"/>
      <w:r w:rsidRPr="00386384">
        <w:rPr>
          <w:sz w:val="20"/>
          <w:szCs w:val="20"/>
          <w:lang w:val="en-GB"/>
        </w:rPr>
        <w:t xml:space="preserve">, The Doctrine of Direct </w:t>
      </w:r>
      <w:proofErr w:type="spellStart"/>
      <w:r w:rsidRPr="00386384">
        <w:rPr>
          <w:sz w:val="20"/>
          <w:szCs w:val="20"/>
          <w:lang w:val="en-GB"/>
        </w:rPr>
        <w:t>Effeft</w:t>
      </w:r>
      <w:proofErr w:type="spellEnd"/>
      <w:r w:rsidRPr="00386384">
        <w:rPr>
          <w:sz w:val="20"/>
          <w:szCs w:val="20"/>
          <w:lang w:val="en-GB"/>
        </w:rPr>
        <w:t>: An Infant Disease of Community Law,  p. 158.</w:t>
      </w:r>
    </w:p>
  </w:footnote>
  <w:footnote w:id="17">
    <w:p w14:paraId="2D0F7832" w14:textId="77777777" w:rsidR="008C7313" w:rsidRPr="00385312" w:rsidRDefault="008C7313">
      <w:pPr>
        <w:pStyle w:val="Funotentext"/>
        <w:rPr>
          <w:sz w:val="20"/>
          <w:szCs w:val="20"/>
        </w:rPr>
      </w:pPr>
      <w:r w:rsidRPr="00386384">
        <w:rPr>
          <w:rStyle w:val="Funotenzeichen"/>
          <w:sz w:val="20"/>
          <w:szCs w:val="20"/>
          <w:lang w:val="en-GB"/>
        </w:rPr>
        <w:footnoteRef/>
      </w:r>
      <w:r w:rsidRPr="00386384">
        <w:rPr>
          <w:sz w:val="20"/>
          <w:szCs w:val="20"/>
          <w:lang w:val="en-GB"/>
        </w:rPr>
        <w:t xml:space="preserve"> De Witte, Direct Effect, Primacy and the nature of the legal order, p. 327.</w:t>
      </w:r>
    </w:p>
  </w:footnote>
  <w:footnote w:id="18">
    <w:p w14:paraId="25027FA7" w14:textId="60463A27" w:rsidR="008C7313" w:rsidRPr="009839F6" w:rsidRDefault="008C7313">
      <w:pPr>
        <w:pStyle w:val="Funotentext"/>
        <w:rPr>
          <w:sz w:val="20"/>
          <w:szCs w:val="20"/>
          <w:lang w:val="en-GB"/>
        </w:rPr>
      </w:pPr>
      <w:r w:rsidRPr="009839F6">
        <w:rPr>
          <w:rStyle w:val="Funotenzeichen"/>
          <w:sz w:val="20"/>
          <w:szCs w:val="20"/>
          <w:lang w:val="en-GB"/>
        </w:rPr>
        <w:footnoteRef/>
      </w:r>
      <w:r w:rsidRPr="009839F6">
        <w:rPr>
          <w:sz w:val="20"/>
          <w:szCs w:val="20"/>
          <w:lang w:val="en-GB"/>
        </w:rPr>
        <w:t xml:space="preserve"> Craig/De </w:t>
      </w:r>
      <w:proofErr w:type="spellStart"/>
      <w:r w:rsidRPr="009839F6">
        <w:rPr>
          <w:sz w:val="20"/>
          <w:szCs w:val="20"/>
          <w:lang w:val="en-GB"/>
        </w:rPr>
        <w:t>Burca</w:t>
      </w:r>
      <w:proofErr w:type="spellEnd"/>
      <w:r w:rsidRPr="009839F6">
        <w:rPr>
          <w:sz w:val="20"/>
          <w:szCs w:val="20"/>
          <w:lang w:val="en-GB"/>
        </w:rPr>
        <w:t>, EU Law, p. 182.</w:t>
      </w:r>
    </w:p>
  </w:footnote>
  <w:footnote w:id="19">
    <w:p w14:paraId="46BD7BE5" w14:textId="5905FB6B" w:rsidR="008C7313" w:rsidRPr="009839F6" w:rsidRDefault="008C7313">
      <w:pPr>
        <w:pStyle w:val="Funotentext"/>
        <w:rPr>
          <w:sz w:val="20"/>
          <w:szCs w:val="20"/>
          <w:lang w:val="en-GB"/>
        </w:rPr>
      </w:pPr>
      <w:r w:rsidRPr="009839F6">
        <w:rPr>
          <w:rStyle w:val="Funotenzeichen"/>
          <w:sz w:val="20"/>
          <w:szCs w:val="20"/>
          <w:lang w:val="en-GB"/>
        </w:rPr>
        <w:footnoteRef/>
      </w:r>
      <w:r w:rsidRPr="009839F6">
        <w:rPr>
          <w:sz w:val="20"/>
          <w:szCs w:val="20"/>
          <w:lang w:val="en-GB"/>
        </w:rPr>
        <w:t xml:space="preserve"> Cs 6/64, [589] and [593].</w:t>
      </w:r>
    </w:p>
  </w:footnote>
  <w:footnote w:id="20">
    <w:p w14:paraId="6E46DC80" w14:textId="77777777" w:rsidR="008C7313" w:rsidRPr="009839F6" w:rsidRDefault="008C7313">
      <w:pPr>
        <w:pStyle w:val="Funotentext"/>
        <w:rPr>
          <w:sz w:val="20"/>
          <w:szCs w:val="20"/>
          <w:lang w:val="en-GB"/>
        </w:rPr>
      </w:pPr>
      <w:r w:rsidRPr="009839F6">
        <w:rPr>
          <w:rStyle w:val="Funotenzeichen"/>
          <w:sz w:val="20"/>
          <w:szCs w:val="20"/>
          <w:lang w:val="en-GB"/>
        </w:rPr>
        <w:footnoteRef/>
      </w:r>
      <w:r w:rsidRPr="009839F6">
        <w:rPr>
          <w:sz w:val="20"/>
          <w:szCs w:val="20"/>
          <w:lang w:val="en-GB"/>
        </w:rPr>
        <w:t xml:space="preserve"> De Witte, Direct Effect, Primacy and the nature of the legal order, p. 328.</w:t>
      </w:r>
    </w:p>
  </w:footnote>
  <w:footnote w:id="21">
    <w:p w14:paraId="2F861250" w14:textId="1E9947FA" w:rsidR="008C7313" w:rsidRPr="009839F6" w:rsidRDefault="008C7313">
      <w:pPr>
        <w:pStyle w:val="Funotentext"/>
        <w:rPr>
          <w:sz w:val="20"/>
          <w:szCs w:val="20"/>
          <w:lang w:val="en-GB"/>
        </w:rPr>
      </w:pPr>
      <w:r w:rsidRPr="009839F6">
        <w:rPr>
          <w:rStyle w:val="Funotenzeichen"/>
          <w:sz w:val="20"/>
          <w:szCs w:val="20"/>
          <w:lang w:val="en-GB"/>
        </w:rPr>
        <w:footnoteRef/>
      </w:r>
      <w:r w:rsidRPr="009839F6">
        <w:rPr>
          <w:sz w:val="20"/>
          <w:szCs w:val="20"/>
          <w:lang w:val="en-GB"/>
        </w:rPr>
        <w:t xml:space="preserve"> Cs 6/64, [593].</w:t>
      </w:r>
    </w:p>
  </w:footnote>
  <w:footnote w:id="22">
    <w:p w14:paraId="45794B9F" w14:textId="3207D22D" w:rsidR="008C7313" w:rsidRPr="009839F6" w:rsidRDefault="008C7313">
      <w:pPr>
        <w:pStyle w:val="Funotentext"/>
        <w:rPr>
          <w:lang w:val="en-GB"/>
        </w:rPr>
      </w:pPr>
      <w:r w:rsidRPr="009839F6">
        <w:rPr>
          <w:rStyle w:val="Funotenzeichen"/>
          <w:sz w:val="20"/>
          <w:szCs w:val="20"/>
          <w:lang w:val="en-GB"/>
        </w:rPr>
        <w:footnoteRef/>
      </w:r>
      <w:r w:rsidRPr="009839F6">
        <w:rPr>
          <w:sz w:val="20"/>
          <w:szCs w:val="20"/>
          <w:lang w:val="en-GB"/>
        </w:rPr>
        <w:t xml:space="preserve"> Cs 6/64, [593].</w:t>
      </w:r>
    </w:p>
  </w:footnote>
  <w:footnote w:id="23">
    <w:p w14:paraId="68EBDA52" w14:textId="6082FCB7" w:rsidR="008C7313" w:rsidRPr="00385312" w:rsidRDefault="008C7313">
      <w:pPr>
        <w:pStyle w:val="Funotentext"/>
        <w:rPr>
          <w:sz w:val="20"/>
          <w:szCs w:val="20"/>
        </w:rPr>
      </w:pPr>
      <w:r w:rsidRPr="009839F6">
        <w:rPr>
          <w:rStyle w:val="Funotenzeichen"/>
          <w:sz w:val="20"/>
          <w:szCs w:val="20"/>
          <w:lang w:val="en-GB"/>
        </w:rPr>
        <w:footnoteRef/>
      </w:r>
      <w:r>
        <w:rPr>
          <w:sz w:val="20"/>
          <w:szCs w:val="20"/>
          <w:lang w:val="en-GB"/>
        </w:rPr>
        <w:t xml:space="preserve"> Chalmers, European U</w:t>
      </w:r>
      <w:r w:rsidRPr="009839F6">
        <w:rPr>
          <w:sz w:val="20"/>
          <w:szCs w:val="20"/>
          <w:lang w:val="en-GB"/>
        </w:rPr>
        <w:t>nion Law, p. 202.</w:t>
      </w:r>
    </w:p>
  </w:footnote>
  <w:footnote w:id="24">
    <w:p w14:paraId="04BC1A46" w14:textId="0FD426F2" w:rsidR="008C7313" w:rsidRPr="001E22CB" w:rsidRDefault="008C7313">
      <w:pPr>
        <w:pStyle w:val="Funotentext"/>
        <w:rPr>
          <w:sz w:val="20"/>
          <w:szCs w:val="20"/>
          <w:lang w:val="en-GB"/>
        </w:rPr>
      </w:pPr>
      <w:r w:rsidRPr="001E22CB">
        <w:rPr>
          <w:rStyle w:val="Funotenzeichen"/>
          <w:sz w:val="20"/>
          <w:szCs w:val="20"/>
          <w:lang w:val="en-GB"/>
        </w:rPr>
        <w:footnoteRef/>
      </w:r>
      <w:r w:rsidRPr="001E22CB">
        <w:rPr>
          <w:sz w:val="20"/>
          <w:szCs w:val="20"/>
          <w:lang w:val="en-GB"/>
        </w:rPr>
        <w:t xml:space="preserve"> De Witte, Direct Effect, Primacy and the nature of the legal order, p. 347f.</w:t>
      </w:r>
    </w:p>
  </w:footnote>
  <w:footnote w:id="25">
    <w:p w14:paraId="4E45E9ED" w14:textId="6905DE70" w:rsidR="008C7313" w:rsidRPr="001E22CB" w:rsidRDefault="008C7313">
      <w:pPr>
        <w:pStyle w:val="Funotentext"/>
        <w:rPr>
          <w:sz w:val="20"/>
          <w:szCs w:val="20"/>
          <w:lang w:val="en-GB"/>
        </w:rPr>
      </w:pPr>
      <w:r w:rsidRPr="001E22CB">
        <w:rPr>
          <w:rStyle w:val="Funotenzeichen"/>
          <w:sz w:val="20"/>
          <w:szCs w:val="20"/>
          <w:lang w:val="en-GB"/>
        </w:rPr>
        <w:footnoteRef/>
      </w:r>
      <w:r w:rsidRPr="001E22CB">
        <w:rPr>
          <w:sz w:val="20"/>
          <w:szCs w:val="20"/>
          <w:lang w:val="en-GB"/>
        </w:rPr>
        <w:t xml:space="preserve"> E.g. the UK has struggled to align those doctrines with their traditional principle of </w:t>
      </w:r>
      <w:proofErr w:type="spellStart"/>
      <w:r w:rsidRPr="001E22CB">
        <w:rPr>
          <w:sz w:val="20"/>
          <w:szCs w:val="20"/>
          <w:lang w:val="en-GB"/>
        </w:rPr>
        <w:t>sovereignity</w:t>
      </w:r>
      <w:proofErr w:type="spellEnd"/>
      <w:r w:rsidRPr="001E22CB">
        <w:rPr>
          <w:sz w:val="20"/>
          <w:szCs w:val="20"/>
          <w:lang w:val="en-GB"/>
        </w:rPr>
        <w:t xml:space="preserve"> of parliament. The Federal Constitutional Court of Germany demands a high level of fundamental rights protection.</w:t>
      </w:r>
    </w:p>
  </w:footnote>
  <w:footnote w:id="26">
    <w:p w14:paraId="3E030765" w14:textId="7F575AF3" w:rsidR="008C7313" w:rsidRPr="001E22CB" w:rsidRDefault="008C7313" w:rsidP="00804F08">
      <w:pPr>
        <w:pStyle w:val="Funotentext"/>
        <w:rPr>
          <w:sz w:val="20"/>
          <w:szCs w:val="20"/>
          <w:lang w:val="en-GB"/>
        </w:rPr>
      </w:pPr>
      <w:r w:rsidRPr="001E22CB">
        <w:rPr>
          <w:rStyle w:val="Funotenzeichen"/>
          <w:sz w:val="20"/>
          <w:szCs w:val="20"/>
          <w:lang w:val="en-GB"/>
        </w:rPr>
        <w:footnoteRef/>
      </w:r>
      <w:r w:rsidRPr="001E22CB">
        <w:rPr>
          <w:sz w:val="20"/>
          <w:szCs w:val="20"/>
          <w:lang w:val="en-GB"/>
        </w:rPr>
        <w:t xml:space="preserve"> Cs 11/70 </w:t>
      </w:r>
      <w:proofErr w:type="spellStart"/>
      <w:r w:rsidRPr="001E22CB">
        <w:rPr>
          <w:sz w:val="20"/>
          <w:szCs w:val="20"/>
          <w:lang w:val="en-GB"/>
        </w:rPr>
        <w:t>Internationale</w:t>
      </w:r>
      <w:proofErr w:type="spellEnd"/>
      <w:r w:rsidRPr="001E22CB">
        <w:rPr>
          <w:sz w:val="20"/>
          <w:szCs w:val="20"/>
          <w:lang w:val="en-GB"/>
        </w:rPr>
        <w:t xml:space="preserve"> </w:t>
      </w:r>
      <w:proofErr w:type="spellStart"/>
      <w:r w:rsidRPr="001E22CB">
        <w:rPr>
          <w:sz w:val="20"/>
          <w:szCs w:val="20"/>
          <w:lang w:val="en-GB"/>
        </w:rPr>
        <w:t>Handelsgesellschaft</w:t>
      </w:r>
      <w:proofErr w:type="spellEnd"/>
      <w:r w:rsidRPr="001E22CB">
        <w:rPr>
          <w:sz w:val="20"/>
          <w:szCs w:val="20"/>
          <w:lang w:val="en-GB"/>
        </w:rPr>
        <w:t xml:space="preserve"> </w:t>
      </w:r>
      <w:proofErr w:type="spellStart"/>
      <w:r w:rsidRPr="001E22CB">
        <w:rPr>
          <w:sz w:val="20"/>
          <w:szCs w:val="20"/>
          <w:lang w:val="en-GB"/>
        </w:rPr>
        <w:t>mbH</w:t>
      </w:r>
      <w:proofErr w:type="spellEnd"/>
      <w:r w:rsidRPr="001E22CB">
        <w:rPr>
          <w:sz w:val="20"/>
          <w:szCs w:val="20"/>
          <w:lang w:val="en-GB"/>
        </w:rPr>
        <w:t xml:space="preserve"> v </w:t>
      </w:r>
      <w:proofErr w:type="spellStart"/>
      <w:r w:rsidRPr="001E22CB">
        <w:rPr>
          <w:sz w:val="20"/>
          <w:szCs w:val="20"/>
          <w:lang w:val="en-GB"/>
        </w:rPr>
        <w:t>Einfuhr</w:t>
      </w:r>
      <w:proofErr w:type="spellEnd"/>
      <w:r w:rsidRPr="001E22CB">
        <w:rPr>
          <w:sz w:val="20"/>
          <w:szCs w:val="20"/>
          <w:lang w:val="en-GB"/>
        </w:rPr>
        <w:t xml:space="preserve">- und </w:t>
      </w:r>
      <w:proofErr w:type="spellStart"/>
      <w:r w:rsidRPr="001E22CB">
        <w:rPr>
          <w:sz w:val="20"/>
          <w:szCs w:val="20"/>
          <w:lang w:val="en-GB"/>
        </w:rPr>
        <w:t>Vorratsstelle</w:t>
      </w:r>
      <w:proofErr w:type="spellEnd"/>
      <w:r w:rsidRPr="001E22CB">
        <w:rPr>
          <w:sz w:val="20"/>
          <w:szCs w:val="20"/>
          <w:lang w:val="en-GB"/>
        </w:rPr>
        <w:t xml:space="preserve"> </w:t>
      </w:r>
      <w:proofErr w:type="spellStart"/>
      <w:r w:rsidRPr="001E22CB">
        <w:rPr>
          <w:sz w:val="20"/>
          <w:szCs w:val="20"/>
          <w:lang w:val="en-GB"/>
        </w:rPr>
        <w:t>für</w:t>
      </w:r>
      <w:proofErr w:type="spellEnd"/>
      <w:r w:rsidRPr="001E22CB">
        <w:rPr>
          <w:sz w:val="20"/>
          <w:szCs w:val="20"/>
          <w:lang w:val="en-GB"/>
        </w:rPr>
        <w:t xml:space="preserve"> </w:t>
      </w:r>
      <w:proofErr w:type="spellStart"/>
      <w:r w:rsidRPr="001E22CB">
        <w:rPr>
          <w:sz w:val="20"/>
          <w:szCs w:val="20"/>
          <w:lang w:val="en-GB"/>
        </w:rPr>
        <w:t>Getreide</w:t>
      </w:r>
      <w:proofErr w:type="spellEnd"/>
      <w:r w:rsidRPr="001E22CB">
        <w:rPr>
          <w:sz w:val="20"/>
          <w:szCs w:val="20"/>
          <w:lang w:val="en-GB"/>
        </w:rPr>
        <w:t xml:space="preserve"> und </w:t>
      </w:r>
      <w:proofErr w:type="spellStart"/>
      <w:r w:rsidRPr="001E22CB">
        <w:rPr>
          <w:sz w:val="20"/>
          <w:szCs w:val="20"/>
          <w:lang w:val="en-GB"/>
        </w:rPr>
        <w:t>Futtermittel</w:t>
      </w:r>
      <w:proofErr w:type="spellEnd"/>
      <w:r w:rsidRPr="001E22CB">
        <w:rPr>
          <w:sz w:val="20"/>
          <w:szCs w:val="20"/>
          <w:lang w:val="en-GB"/>
        </w:rPr>
        <w:t xml:space="preserve"> (1970) ECR 1125.</w:t>
      </w:r>
    </w:p>
  </w:footnote>
  <w:footnote w:id="27">
    <w:p w14:paraId="6478998D" w14:textId="63CA1B41" w:rsidR="008C7313" w:rsidRPr="001E22CB" w:rsidRDefault="008C7313" w:rsidP="00804F08">
      <w:pPr>
        <w:pStyle w:val="Funotentext"/>
        <w:rPr>
          <w:sz w:val="20"/>
          <w:szCs w:val="20"/>
          <w:lang w:val="en-GB"/>
        </w:rPr>
      </w:pPr>
      <w:r w:rsidRPr="001E22CB">
        <w:rPr>
          <w:rStyle w:val="Funotenzeichen"/>
          <w:sz w:val="20"/>
          <w:szCs w:val="20"/>
          <w:lang w:val="en-GB"/>
        </w:rPr>
        <w:footnoteRef/>
      </w:r>
      <w:r w:rsidRPr="001E22CB">
        <w:rPr>
          <w:sz w:val="20"/>
          <w:szCs w:val="20"/>
          <w:lang w:val="en-GB"/>
        </w:rPr>
        <w:t xml:space="preserve"> Cs 106/77 </w:t>
      </w:r>
      <w:proofErr w:type="spellStart"/>
      <w:r w:rsidRPr="001E22CB">
        <w:rPr>
          <w:sz w:val="20"/>
          <w:szCs w:val="20"/>
          <w:lang w:val="en-GB"/>
        </w:rPr>
        <w:t>Amministrazione</w:t>
      </w:r>
      <w:proofErr w:type="spellEnd"/>
      <w:r w:rsidRPr="001E22CB">
        <w:rPr>
          <w:sz w:val="20"/>
          <w:szCs w:val="20"/>
          <w:lang w:val="en-GB"/>
        </w:rPr>
        <w:t xml:space="preserve"> </w:t>
      </w:r>
      <w:proofErr w:type="spellStart"/>
      <w:r w:rsidRPr="001E22CB">
        <w:rPr>
          <w:sz w:val="20"/>
          <w:szCs w:val="20"/>
          <w:lang w:val="en-GB"/>
        </w:rPr>
        <w:t>delle</w:t>
      </w:r>
      <w:proofErr w:type="spellEnd"/>
      <w:r w:rsidRPr="001E22CB">
        <w:rPr>
          <w:sz w:val="20"/>
          <w:szCs w:val="20"/>
          <w:lang w:val="en-GB"/>
        </w:rPr>
        <w:t xml:space="preserve"> </w:t>
      </w:r>
      <w:proofErr w:type="spellStart"/>
      <w:r w:rsidRPr="001E22CB">
        <w:rPr>
          <w:sz w:val="20"/>
          <w:szCs w:val="20"/>
          <w:lang w:val="en-GB"/>
        </w:rPr>
        <w:t>Finanze</w:t>
      </w:r>
      <w:proofErr w:type="spellEnd"/>
      <w:r w:rsidRPr="001E22CB">
        <w:rPr>
          <w:sz w:val="20"/>
          <w:szCs w:val="20"/>
          <w:lang w:val="en-GB"/>
        </w:rPr>
        <w:t xml:space="preserve"> </w:t>
      </w:r>
      <w:proofErr w:type="spellStart"/>
      <w:r w:rsidRPr="001E22CB">
        <w:rPr>
          <w:sz w:val="20"/>
          <w:szCs w:val="20"/>
          <w:lang w:val="en-GB"/>
        </w:rPr>
        <w:t>dello</w:t>
      </w:r>
      <w:proofErr w:type="spellEnd"/>
      <w:r w:rsidRPr="001E22CB">
        <w:rPr>
          <w:sz w:val="20"/>
          <w:szCs w:val="20"/>
          <w:lang w:val="en-GB"/>
        </w:rPr>
        <w:t xml:space="preserve"> </w:t>
      </w:r>
      <w:proofErr w:type="spellStart"/>
      <w:r w:rsidRPr="001E22CB">
        <w:rPr>
          <w:sz w:val="20"/>
          <w:szCs w:val="20"/>
          <w:lang w:val="en-GB"/>
        </w:rPr>
        <w:t>Stato</w:t>
      </w:r>
      <w:proofErr w:type="spellEnd"/>
      <w:r w:rsidRPr="001E22CB">
        <w:rPr>
          <w:sz w:val="20"/>
          <w:szCs w:val="20"/>
          <w:lang w:val="en-GB"/>
        </w:rPr>
        <w:t xml:space="preserve"> v </w:t>
      </w:r>
      <w:proofErr w:type="spellStart"/>
      <w:r w:rsidRPr="001E22CB">
        <w:rPr>
          <w:sz w:val="20"/>
          <w:szCs w:val="20"/>
          <w:lang w:val="en-GB"/>
        </w:rPr>
        <w:t>Simmenthal</w:t>
      </w:r>
      <w:proofErr w:type="spellEnd"/>
      <w:r w:rsidRPr="001E22CB">
        <w:rPr>
          <w:sz w:val="20"/>
          <w:szCs w:val="20"/>
          <w:lang w:val="en-GB"/>
        </w:rPr>
        <w:t xml:space="preserve"> </w:t>
      </w:r>
      <w:proofErr w:type="spellStart"/>
      <w:r w:rsidRPr="001E22CB">
        <w:rPr>
          <w:sz w:val="20"/>
          <w:szCs w:val="20"/>
          <w:lang w:val="en-GB"/>
        </w:rPr>
        <w:t>SpA</w:t>
      </w:r>
      <w:proofErr w:type="spellEnd"/>
      <w:r w:rsidRPr="001E22CB">
        <w:rPr>
          <w:sz w:val="20"/>
          <w:szCs w:val="20"/>
          <w:lang w:val="en-GB"/>
        </w:rPr>
        <w:t xml:space="preserve"> (1978) ECR 629.</w:t>
      </w:r>
    </w:p>
  </w:footnote>
  <w:footnote w:id="28">
    <w:p w14:paraId="148271BF" w14:textId="71C221D3" w:rsidR="008C7313" w:rsidRPr="001E22CB" w:rsidRDefault="008C7313" w:rsidP="00804F08">
      <w:pPr>
        <w:pStyle w:val="Funotentext"/>
        <w:rPr>
          <w:sz w:val="20"/>
          <w:szCs w:val="20"/>
          <w:lang w:val="en-GB"/>
        </w:rPr>
      </w:pPr>
      <w:r w:rsidRPr="001E22CB">
        <w:rPr>
          <w:rStyle w:val="Funotenzeichen"/>
          <w:sz w:val="20"/>
          <w:szCs w:val="20"/>
          <w:lang w:val="en-GB"/>
        </w:rPr>
        <w:footnoteRef/>
      </w:r>
      <w:r w:rsidRPr="001E22CB">
        <w:rPr>
          <w:sz w:val="20"/>
          <w:szCs w:val="20"/>
          <w:lang w:val="en-GB"/>
        </w:rPr>
        <w:t xml:space="preserve"> Council Regulations (EC) 473/67 and 120/67.</w:t>
      </w:r>
    </w:p>
  </w:footnote>
  <w:footnote w:id="29">
    <w:p w14:paraId="43678C3C" w14:textId="51524DEB" w:rsidR="008C7313" w:rsidRPr="001E22CB" w:rsidRDefault="008C7313" w:rsidP="00804F08">
      <w:pPr>
        <w:pStyle w:val="Funotentext"/>
        <w:rPr>
          <w:sz w:val="20"/>
          <w:szCs w:val="20"/>
          <w:lang w:val="en-GB"/>
        </w:rPr>
      </w:pPr>
      <w:r w:rsidRPr="001E22CB">
        <w:rPr>
          <w:rStyle w:val="Funotenzeichen"/>
          <w:sz w:val="20"/>
          <w:szCs w:val="20"/>
          <w:lang w:val="en-GB"/>
        </w:rPr>
        <w:footnoteRef/>
      </w:r>
      <w:r w:rsidRPr="001E22CB">
        <w:rPr>
          <w:sz w:val="20"/>
          <w:szCs w:val="20"/>
          <w:lang w:val="en-GB"/>
        </w:rPr>
        <w:t xml:space="preserve"> Cs 11/70, [3].</w:t>
      </w:r>
    </w:p>
  </w:footnote>
  <w:footnote w:id="30">
    <w:p w14:paraId="49DB8230" w14:textId="235D6758" w:rsidR="008C7313" w:rsidRPr="001E22CB" w:rsidRDefault="008C7313" w:rsidP="00804F08">
      <w:pPr>
        <w:pStyle w:val="Funotentext"/>
        <w:rPr>
          <w:sz w:val="20"/>
          <w:szCs w:val="20"/>
          <w:lang w:val="en-GB"/>
        </w:rPr>
      </w:pPr>
      <w:r w:rsidRPr="001E22CB">
        <w:rPr>
          <w:rStyle w:val="Funotenzeichen"/>
          <w:sz w:val="20"/>
          <w:szCs w:val="20"/>
          <w:lang w:val="en-GB"/>
        </w:rPr>
        <w:footnoteRef/>
      </w:r>
      <w:r w:rsidRPr="001E22CB">
        <w:rPr>
          <w:sz w:val="20"/>
          <w:szCs w:val="20"/>
          <w:lang w:val="en-GB"/>
        </w:rPr>
        <w:t xml:space="preserve"> Cs 11/70, [3].</w:t>
      </w:r>
    </w:p>
  </w:footnote>
  <w:footnote w:id="31">
    <w:p w14:paraId="56CFBD42" w14:textId="4A17945D" w:rsidR="008C7313" w:rsidRDefault="008C7313" w:rsidP="00780F84">
      <w:pPr>
        <w:pStyle w:val="FN"/>
      </w:pPr>
      <w:r w:rsidRPr="001E22CB">
        <w:rPr>
          <w:rStyle w:val="Funotenzeichen"/>
          <w:lang w:val="en-GB"/>
        </w:rPr>
        <w:footnoteRef/>
      </w:r>
      <w:r w:rsidRPr="001E22CB">
        <w:rPr>
          <w:lang w:val="en-GB"/>
        </w:rPr>
        <w:t xml:space="preserve"> Cs 11/70, [4].</w:t>
      </w:r>
    </w:p>
  </w:footnote>
  <w:footnote w:id="32">
    <w:p w14:paraId="52DE92F6" w14:textId="5FFF34CE" w:rsidR="008C7313" w:rsidRPr="00695D20" w:rsidRDefault="008C7313" w:rsidP="00804F08">
      <w:pPr>
        <w:pStyle w:val="Funotentext"/>
        <w:rPr>
          <w:sz w:val="20"/>
          <w:szCs w:val="20"/>
          <w:lang w:val="en-GB"/>
        </w:rPr>
      </w:pPr>
      <w:r w:rsidRPr="00695D20">
        <w:rPr>
          <w:rStyle w:val="Funotenzeichen"/>
          <w:sz w:val="20"/>
          <w:szCs w:val="20"/>
          <w:lang w:val="en-GB"/>
        </w:rPr>
        <w:footnoteRef/>
      </w:r>
      <w:r w:rsidRPr="00695D20">
        <w:rPr>
          <w:sz w:val="20"/>
          <w:szCs w:val="20"/>
          <w:lang w:val="en-GB"/>
        </w:rPr>
        <w:t xml:space="preserve"> Cs 106/77, [21].</w:t>
      </w:r>
    </w:p>
  </w:footnote>
  <w:footnote w:id="33">
    <w:p w14:paraId="23163F6D" w14:textId="2483667B" w:rsidR="008C7313" w:rsidRPr="00695D20" w:rsidRDefault="008C7313" w:rsidP="00804F08">
      <w:pPr>
        <w:pStyle w:val="Funotentext"/>
        <w:rPr>
          <w:sz w:val="20"/>
          <w:szCs w:val="20"/>
          <w:lang w:val="en-GB"/>
        </w:rPr>
      </w:pPr>
      <w:r w:rsidRPr="00695D20">
        <w:rPr>
          <w:rStyle w:val="Funotenzeichen"/>
          <w:sz w:val="20"/>
          <w:szCs w:val="20"/>
          <w:lang w:val="en-GB"/>
        </w:rPr>
        <w:footnoteRef/>
      </w:r>
      <w:r w:rsidRPr="00695D20">
        <w:rPr>
          <w:sz w:val="20"/>
          <w:szCs w:val="20"/>
          <w:lang w:val="en-GB"/>
        </w:rPr>
        <w:t xml:space="preserve"> Cs 106/77, [18].</w:t>
      </w:r>
    </w:p>
  </w:footnote>
  <w:footnote w:id="34">
    <w:p w14:paraId="0D10389A" w14:textId="08BE6ADC" w:rsidR="008C7313" w:rsidRPr="00D14EE5" w:rsidRDefault="008C7313" w:rsidP="00D14EE5">
      <w:pPr>
        <w:pStyle w:val="FN"/>
        <w:rPr>
          <w:lang w:val="en-GB"/>
        </w:rPr>
      </w:pPr>
      <w:r w:rsidRPr="00D14EE5">
        <w:rPr>
          <w:rStyle w:val="Funotenzeichen"/>
          <w:lang w:val="en-GB"/>
        </w:rPr>
        <w:footnoteRef/>
      </w:r>
      <w:r w:rsidRPr="00D14EE5">
        <w:rPr>
          <w:lang w:val="en-GB"/>
        </w:rPr>
        <w:t xml:space="preserve"> Mancini, The Making of a Constitution of Europe, 26 CML Rev. 1989, p. 609.</w:t>
      </w:r>
    </w:p>
  </w:footnote>
  <w:footnote w:id="35">
    <w:p w14:paraId="40769AD2" w14:textId="25E76BB3" w:rsidR="008C7313" w:rsidRPr="00D14EE5" w:rsidRDefault="008C7313" w:rsidP="00D14EE5">
      <w:pPr>
        <w:pStyle w:val="FN"/>
        <w:rPr>
          <w:lang w:val="en-GB"/>
        </w:rPr>
      </w:pPr>
      <w:r w:rsidRPr="00D14EE5">
        <w:rPr>
          <w:rStyle w:val="Funotenzeichen"/>
          <w:lang w:val="en-GB"/>
        </w:rPr>
        <w:footnoteRef/>
      </w:r>
      <w:r w:rsidRPr="00D14EE5">
        <w:rPr>
          <w:lang w:val="en-GB"/>
        </w:rPr>
        <w:t xml:space="preserve"> Cs 29/69 Erich </w:t>
      </w:r>
      <w:proofErr w:type="spellStart"/>
      <w:r w:rsidRPr="00D14EE5">
        <w:rPr>
          <w:lang w:val="en-GB"/>
        </w:rPr>
        <w:t>Stauder</w:t>
      </w:r>
      <w:proofErr w:type="spellEnd"/>
      <w:r w:rsidRPr="00D14EE5">
        <w:rPr>
          <w:lang w:val="en-GB"/>
        </w:rPr>
        <w:t xml:space="preserve"> v City of Ulm – </w:t>
      </w:r>
      <w:proofErr w:type="spellStart"/>
      <w:r w:rsidRPr="00D14EE5">
        <w:rPr>
          <w:lang w:val="en-GB"/>
        </w:rPr>
        <w:t>Sozialamt</w:t>
      </w:r>
      <w:proofErr w:type="spellEnd"/>
      <w:r w:rsidRPr="00D14EE5">
        <w:rPr>
          <w:lang w:val="en-GB"/>
        </w:rPr>
        <w:t xml:space="preserve"> (1969) ECR 419.</w:t>
      </w:r>
    </w:p>
  </w:footnote>
  <w:footnote w:id="36">
    <w:p w14:paraId="6FBC5AF0" w14:textId="5C999E8C" w:rsidR="008C7313" w:rsidRPr="00D14EE5" w:rsidRDefault="008C7313" w:rsidP="00D14EE5">
      <w:pPr>
        <w:pStyle w:val="FN"/>
        <w:rPr>
          <w:lang w:val="en-GB"/>
        </w:rPr>
      </w:pPr>
      <w:r w:rsidRPr="00D14EE5">
        <w:rPr>
          <w:rStyle w:val="Funotenzeichen"/>
          <w:lang w:val="en-GB"/>
        </w:rPr>
        <w:footnoteRef/>
      </w:r>
      <w:r w:rsidRPr="00D14EE5">
        <w:rPr>
          <w:lang w:val="en-GB"/>
        </w:rPr>
        <w:t xml:space="preserve"> Cs 29/69, [7].</w:t>
      </w:r>
    </w:p>
  </w:footnote>
  <w:footnote w:id="37">
    <w:p w14:paraId="4ACCA875" w14:textId="72026575" w:rsidR="008C7313" w:rsidRPr="00D14EE5" w:rsidRDefault="008C7313" w:rsidP="00D14EE5">
      <w:pPr>
        <w:pStyle w:val="FN"/>
        <w:rPr>
          <w:lang w:val="en-GB"/>
        </w:rPr>
      </w:pPr>
      <w:r w:rsidRPr="00D14EE5">
        <w:rPr>
          <w:rStyle w:val="Funotenzeichen"/>
          <w:lang w:val="en-GB"/>
        </w:rPr>
        <w:footnoteRef/>
      </w:r>
      <w:r w:rsidRPr="00D14EE5">
        <w:rPr>
          <w:lang w:val="en-GB"/>
        </w:rPr>
        <w:t xml:space="preserve"> Chalmers, European Union Law, p. 251.</w:t>
      </w:r>
    </w:p>
  </w:footnote>
  <w:footnote w:id="38">
    <w:p w14:paraId="7398CE1E" w14:textId="268147B8" w:rsidR="008C7313" w:rsidRPr="00D14EE5" w:rsidRDefault="008C7313" w:rsidP="00D14EE5">
      <w:pPr>
        <w:pStyle w:val="FN"/>
        <w:rPr>
          <w:lang w:val="en-GB"/>
        </w:rPr>
      </w:pPr>
      <w:r w:rsidRPr="00D14EE5">
        <w:rPr>
          <w:rStyle w:val="Funotenzeichen"/>
          <w:lang w:val="en-GB"/>
        </w:rPr>
        <w:footnoteRef/>
      </w:r>
      <w:r w:rsidRPr="00D14EE5">
        <w:rPr>
          <w:lang w:val="en-GB"/>
        </w:rPr>
        <w:t xml:space="preserve"> Cs 4/73 </w:t>
      </w:r>
      <w:proofErr w:type="spellStart"/>
      <w:r w:rsidRPr="00D14EE5">
        <w:rPr>
          <w:lang w:val="en-GB"/>
        </w:rPr>
        <w:t>Nold</w:t>
      </w:r>
      <w:proofErr w:type="spellEnd"/>
      <w:r w:rsidRPr="00D14EE5">
        <w:rPr>
          <w:lang w:val="en-GB"/>
        </w:rPr>
        <w:t xml:space="preserve"> v European Commission (1974) ECR 491.</w:t>
      </w:r>
    </w:p>
  </w:footnote>
  <w:footnote w:id="39">
    <w:p w14:paraId="3561022F" w14:textId="5461E5A9" w:rsidR="008C7313" w:rsidRPr="00D14EE5" w:rsidRDefault="008C7313" w:rsidP="00D14EE5">
      <w:pPr>
        <w:pStyle w:val="FN"/>
        <w:rPr>
          <w:b/>
          <w:bCs/>
          <w:sz w:val="24"/>
          <w:szCs w:val="24"/>
          <w:lang w:val="en-GB"/>
        </w:rPr>
      </w:pPr>
      <w:r w:rsidRPr="00D14EE5">
        <w:rPr>
          <w:rStyle w:val="Funotenzeichen"/>
          <w:lang w:val="en-GB"/>
        </w:rPr>
        <w:footnoteRef/>
      </w:r>
      <w:r w:rsidRPr="00D14EE5">
        <w:rPr>
          <w:lang w:val="en-GB"/>
        </w:rPr>
        <w:t xml:space="preserve"> The decision on </w:t>
      </w:r>
      <w:proofErr w:type="spellStart"/>
      <w:r w:rsidRPr="00D14EE5">
        <w:rPr>
          <w:i/>
          <w:lang w:val="en-GB"/>
        </w:rPr>
        <w:t>Nold</w:t>
      </w:r>
      <w:proofErr w:type="spellEnd"/>
      <w:r w:rsidRPr="00D14EE5">
        <w:rPr>
          <w:lang w:val="en-GB"/>
        </w:rPr>
        <w:t xml:space="preserve"> took place on May 14 1974, just 15 days before the „</w:t>
      </w:r>
      <w:proofErr w:type="spellStart"/>
      <w:r w:rsidRPr="00D14EE5">
        <w:rPr>
          <w:lang w:val="en-GB"/>
        </w:rPr>
        <w:t>Solange</w:t>
      </w:r>
      <w:proofErr w:type="spellEnd"/>
      <w:r w:rsidRPr="00D14EE5">
        <w:rPr>
          <w:lang w:val="en-GB"/>
        </w:rPr>
        <w:t xml:space="preserve"> I“ ruling of the </w:t>
      </w:r>
      <w:proofErr w:type="spellStart"/>
      <w:r w:rsidRPr="00D14EE5">
        <w:rPr>
          <w:i/>
          <w:lang w:val="en-GB"/>
        </w:rPr>
        <w:t>Bundesverfassungsgericht</w:t>
      </w:r>
      <w:proofErr w:type="spellEnd"/>
      <w:r w:rsidRPr="00D14EE5">
        <w:rPr>
          <w:lang w:val="en-GB"/>
        </w:rPr>
        <w:t xml:space="preserve">; </w:t>
      </w:r>
      <w:proofErr w:type="spellStart"/>
      <w:r w:rsidRPr="00D14EE5">
        <w:rPr>
          <w:lang w:val="en-GB"/>
        </w:rPr>
        <w:t>Claes</w:t>
      </w:r>
      <w:proofErr w:type="spellEnd"/>
      <w:r w:rsidRPr="00D14EE5">
        <w:rPr>
          <w:lang w:val="en-GB"/>
        </w:rPr>
        <w:t>,</w:t>
      </w:r>
      <w:r w:rsidRPr="00D14EE5">
        <w:rPr>
          <w:rFonts w:ascii="Arial" w:eastAsia="Times New Roman" w:hAnsi="Arial" w:cs="Arial"/>
          <w:color w:val="333333"/>
          <w:kern w:val="36"/>
          <w:sz w:val="18"/>
          <w:szCs w:val="18"/>
          <w:lang w:val="en-GB"/>
        </w:rPr>
        <w:t xml:space="preserve"> </w:t>
      </w:r>
      <w:r w:rsidRPr="00D14EE5">
        <w:rPr>
          <w:bCs/>
          <w:lang w:val="en-GB"/>
        </w:rPr>
        <w:t>The National Courts' Mandate in the European Constitution, p. 419.</w:t>
      </w:r>
    </w:p>
  </w:footnote>
  <w:footnote w:id="40">
    <w:p w14:paraId="55040318" w14:textId="20E2D900" w:rsidR="008C7313" w:rsidRPr="003071B9" w:rsidRDefault="008C7313" w:rsidP="00495502">
      <w:pPr>
        <w:pStyle w:val="FN"/>
        <w:rPr>
          <w:lang w:val="en-GB"/>
        </w:rPr>
      </w:pPr>
      <w:r w:rsidRPr="003071B9">
        <w:rPr>
          <w:rStyle w:val="Funotenzeichen"/>
          <w:lang w:val="en-GB"/>
        </w:rPr>
        <w:footnoteRef/>
      </w:r>
      <w:r w:rsidRPr="003071B9">
        <w:rPr>
          <w:lang w:val="en-GB"/>
        </w:rPr>
        <w:t xml:space="preserve"> Cs 4/73, [13].</w:t>
      </w:r>
    </w:p>
  </w:footnote>
  <w:footnote w:id="41">
    <w:p w14:paraId="64B04C4D" w14:textId="3AD282B1" w:rsidR="008C7313" w:rsidRPr="003071B9" w:rsidRDefault="008C7313">
      <w:pPr>
        <w:pStyle w:val="Funotentext"/>
        <w:rPr>
          <w:sz w:val="20"/>
          <w:szCs w:val="20"/>
          <w:lang w:val="en-GB"/>
        </w:rPr>
      </w:pPr>
      <w:r w:rsidRPr="003071B9">
        <w:rPr>
          <w:rStyle w:val="Funotenzeichen"/>
          <w:sz w:val="20"/>
          <w:szCs w:val="20"/>
          <w:lang w:val="en-GB"/>
        </w:rPr>
        <w:footnoteRef/>
      </w:r>
      <w:r w:rsidRPr="003071B9">
        <w:rPr>
          <w:sz w:val="20"/>
          <w:szCs w:val="20"/>
          <w:lang w:val="en-GB"/>
        </w:rPr>
        <w:t xml:space="preserve"> Cs 36/75 </w:t>
      </w:r>
      <w:proofErr w:type="spellStart"/>
      <w:r w:rsidRPr="003071B9">
        <w:rPr>
          <w:sz w:val="20"/>
          <w:szCs w:val="20"/>
          <w:lang w:val="en-GB"/>
        </w:rPr>
        <w:t>Rutili</w:t>
      </w:r>
      <w:proofErr w:type="spellEnd"/>
      <w:r w:rsidRPr="003071B9">
        <w:rPr>
          <w:sz w:val="20"/>
          <w:szCs w:val="20"/>
          <w:lang w:val="en-GB"/>
        </w:rPr>
        <w:t xml:space="preserve"> v </w:t>
      </w:r>
      <w:proofErr w:type="spellStart"/>
      <w:r w:rsidRPr="003071B9">
        <w:rPr>
          <w:sz w:val="20"/>
          <w:szCs w:val="20"/>
          <w:lang w:val="en-GB"/>
        </w:rPr>
        <w:t>Ministe</w:t>
      </w:r>
      <w:proofErr w:type="spellEnd"/>
      <w:r w:rsidRPr="003071B9">
        <w:rPr>
          <w:sz w:val="20"/>
          <w:szCs w:val="20"/>
          <w:lang w:val="en-GB"/>
        </w:rPr>
        <w:t xml:space="preserve"> de </w:t>
      </w:r>
      <w:proofErr w:type="spellStart"/>
      <w:r w:rsidRPr="003071B9">
        <w:rPr>
          <w:sz w:val="20"/>
          <w:szCs w:val="20"/>
          <w:lang w:val="en-GB"/>
        </w:rPr>
        <w:t>l´Interieur</w:t>
      </w:r>
      <w:proofErr w:type="spellEnd"/>
      <w:r w:rsidRPr="003071B9">
        <w:rPr>
          <w:sz w:val="20"/>
          <w:szCs w:val="20"/>
          <w:lang w:val="en-GB"/>
        </w:rPr>
        <w:t xml:space="preserve"> (1974) ECR 491.</w:t>
      </w:r>
    </w:p>
  </w:footnote>
  <w:footnote w:id="42">
    <w:p w14:paraId="4D1F98BA" w14:textId="77777777" w:rsidR="008C7313" w:rsidRPr="00B31354" w:rsidRDefault="008C7313" w:rsidP="00C62064">
      <w:pPr>
        <w:pStyle w:val="Funotentext"/>
        <w:rPr>
          <w:sz w:val="20"/>
          <w:szCs w:val="20"/>
        </w:rPr>
      </w:pPr>
      <w:r w:rsidRPr="003071B9">
        <w:rPr>
          <w:rStyle w:val="Funotenzeichen"/>
          <w:sz w:val="20"/>
          <w:szCs w:val="20"/>
          <w:lang w:val="en-GB"/>
        </w:rPr>
        <w:footnoteRef/>
      </w:r>
      <w:r w:rsidRPr="003071B9">
        <w:rPr>
          <w:sz w:val="20"/>
          <w:szCs w:val="20"/>
          <w:lang w:val="en-GB"/>
        </w:rPr>
        <w:t xml:space="preserve"> Craig/De </w:t>
      </w:r>
      <w:proofErr w:type="spellStart"/>
      <w:r w:rsidRPr="003071B9">
        <w:rPr>
          <w:sz w:val="20"/>
          <w:szCs w:val="20"/>
          <w:lang w:val="en-GB"/>
        </w:rPr>
        <w:t>Burca</w:t>
      </w:r>
      <w:proofErr w:type="spellEnd"/>
      <w:r w:rsidRPr="003071B9">
        <w:rPr>
          <w:sz w:val="20"/>
          <w:szCs w:val="20"/>
          <w:lang w:val="en-GB"/>
        </w:rPr>
        <w:t>, EU Law, p. 366.</w:t>
      </w:r>
    </w:p>
  </w:footnote>
  <w:footnote w:id="43">
    <w:p w14:paraId="5407F97D" w14:textId="38FA6F3C" w:rsidR="008C7313" w:rsidRPr="00C911A7" w:rsidRDefault="008C7313">
      <w:pPr>
        <w:pStyle w:val="Funotentext"/>
        <w:rPr>
          <w:lang w:val="en-GB"/>
        </w:rPr>
      </w:pPr>
      <w:r w:rsidRPr="00C911A7">
        <w:rPr>
          <w:rStyle w:val="Funotenzeichen"/>
          <w:sz w:val="20"/>
          <w:szCs w:val="20"/>
          <w:lang w:val="en-GB"/>
        </w:rPr>
        <w:footnoteRef/>
      </w:r>
      <w:r w:rsidRPr="00C911A7">
        <w:rPr>
          <w:sz w:val="20"/>
          <w:szCs w:val="20"/>
          <w:lang w:val="en-GB"/>
        </w:rPr>
        <w:t xml:space="preserve"> Craig/De </w:t>
      </w:r>
      <w:proofErr w:type="spellStart"/>
      <w:r w:rsidRPr="00C911A7">
        <w:rPr>
          <w:sz w:val="20"/>
          <w:szCs w:val="20"/>
          <w:lang w:val="en-GB"/>
        </w:rPr>
        <w:t>Burca</w:t>
      </w:r>
      <w:proofErr w:type="spellEnd"/>
      <w:r w:rsidRPr="00C911A7">
        <w:rPr>
          <w:sz w:val="20"/>
          <w:szCs w:val="20"/>
          <w:lang w:val="en-GB"/>
        </w:rPr>
        <w:t>, EU Law, p. 366.</w:t>
      </w:r>
    </w:p>
  </w:footnote>
  <w:footnote w:id="44">
    <w:p w14:paraId="62C86984" w14:textId="20D06747" w:rsidR="008C7313" w:rsidRPr="00C911A7" w:rsidRDefault="008C7313">
      <w:pPr>
        <w:pStyle w:val="Funotentext"/>
        <w:rPr>
          <w:sz w:val="20"/>
          <w:szCs w:val="20"/>
          <w:lang w:val="en-GB"/>
        </w:rPr>
      </w:pPr>
      <w:r w:rsidRPr="00C911A7">
        <w:rPr>
          <w:rStyle w:val="Funotenzeichen"/>
          <w:sz w:val="20"/>
          <w:szCs w:val="20"/>
          <w:lang w:val="en-GB"/>
        </w:rPr>
        <w:footnoteRef/>
      </w:r>
      <w:r w:rsidRPr="00C911A7">
        <w:rPr>
          <w:sz w:val="20"/>
          <w:szCs w:val="20"/>
          <w:lang w:val="en-GB"/>
        </w:rPr>
        <w:t xml:space="preserve"> Chalmers, European Union Law, p. 255.</w:t>
      </w:r>
    </w:p>
  </w:footnote>
  <w:footnote w:id="45">
    <w:p w14:paraId="69B167C7" w14:textId="66D64CCF" w:rsidR="008C7313" w:rsidRPr="00C911A7" w:rsidRDefault="008C7313">
      <w:pPr>
        <w:pStyle w:val="Funotentext"/>
        <w:rPr>
          <w:sz w:val="20"/>
          <w:szCs w:val="20"/>
          <w:lang w:val="en-GB"/>
        </w:rPr>
      </w:pPr>
      <w:r w:rsidRPr="00C911A7">
        <w:rPr>
          <w:rStyle w:val="Funotenzeichen"/>
          <w:sz w:val="20"/>
          <w:szCs w:val="20"/>
          <w:lang w:val="en-GB"/>
        </w:rPr>
        <w:footnoteRef/>
      </w:r>
      <w:r w:rsidRPr="00C911A7">
        <w:rPr>
          <w:sz w:val="20"/>
          <w:szCs w:val="20"/>
          <w:lang w:val="en-GB"/>
        </w:rPr>
        <w:t xml:space="preserve"> Chalmers, European Union Law, p. 255.</w:t>
      </w:r>
    </w:p>
  </w:footnote>
  <w:footnote w:id="46">
    <w:p w14:paraId="6CF87B5D" w14:textId="2E0334B8" w:rsidR="008C7313" w:rsidRPr="00C911A7" w:rsidRDefault="008C7313">
      <w:pPr>
        <w:pStyle w:val="Funotentext"/>
        <w:rPr>
          <w:sz w:val="20"/>
          <w:szCs w:val="20"/>
          <w:lang w:val="en-GB"/>
        </w:rPr>
      </w:pPr>
      <w:r w:rsidRPr="00C911A7">
        <w:rPr>
          <w:rStyle w:val="Funotenzeichen"/>
          <w:sz w:val="20"/>
          <w:szCs w:val="20"/>
          <w:lang w:val="en-GB"/>
        </w:rPr>
        <w:footnoteRef/>
      </w:r>
      <w:r w:rsidRPr="00C911A7">
        <w:rPr>
          <w:sz w:val="20"/>
          <w:szCs w:val="20"/>
          <w:lang w:val="en-GB"/>
        </w:rPr>
        <w:t xml:space="preserve"> Conway, Legal Reasoning, p. 9. </w:t>
      </w:r>
    </w:p>
  </w:footnote>
  <w:footnote w:id="47">
    <w:p w14:paraId="3F34A1E3" w14:textId="1798E375" w:rsidR="008C7313" w:rsidRPr="00C911A7" w:rsidRDefault="008C7313">
      <w:pPr>
        <w:pStyle w:val="Funotentext"/>
        <w:rPr>
          <w:sz w:val="20"/>
          <w:szCs w:val="20"/>
          <w:lang w:val="en-GB"/>
        </w:rPr>
      </w:pPr>
      <w:r w:rsidRPr="00C911A7">
        <w:rPr>
          <w:rStyle w:val="Funotenzeichen"/>
          <w:sz w:val="20"/>
          <w:szCs w:val="20"/>
          <w:lang w:val="en-GB"/>
        </w:rPr>
        <w:footnoteRef/>
      </w:r>
      <w:r w:rsidRPr="00C911A7">
        <w:rPr>
          <w:sz w:val="20"/>
          <w:szCs w:val="20"/>
          <w:lang w:val="en-GB"/>
        </w:rPr>
        <w:t xml:space="preserve"> Conway, Legal Reasoning, p. 1. </w:t>
      </w:r>
    </w:p>
  </w:footnote>
  <w:footnote w:id="48">
    <w:p w14:paraId="501867A6" w14:textId="6099B2FF" w:rsidR="008C7313" w:rsidRPr="001D1B74" w:rsidRDefault="008C7313" w:rsidP="001D1B74">
      <w:pPr>
        <w:pStyle w:val="Funotentext"/>
        <w:jc w:val="both"/>
        <w:rPr>
          <w:sz w:val="20"/>
          <w:szCs w:val="20"/>
        </w:rPr>
      </w:pPr>
      <w:r w:rsidRPr="00C911A7">
        <w:rPr>
          <w:rStyle w:val="Funotenzeichen"/>
          <w:sz w:val="20"/>
          <w:szCs w:val="20"/>
          <w:lang w:val="en-GB"/>
        </w:rPr>
        <w:footnoteRef/>
      </w:r>
      <w:r w:rsidRPr="00C911A7">
        <w:rPr>
          <w:sz w:val="20"/>
          <w:szCs w:val="20"/>
          <w:lang w:val="en-GB"/>
        </w:rPr>
        <w:t xml:space="preserve"> Shapiro, Comparative Law and Comparative Politics, p. 538.</w:t>
      </w:r>
    </w:p>
  </w:footnote>
  <w:footnote w:id="49">
    <w:p w14:paraId="4FCC7414" w14:textId="5C8FFC72" w:rsidR="008C7313" w:rsidRPr="00C911A7" w:rsidRDefault="008C7313" w:rsidP="00F21E2E">
      <w:pPr>
        <w:pStyle w:val="Funotentext"/>
        <w:jc w:val="both"/>
        <w:rPr>
          <w:sz w:val="20"/>
          <w:szCs w:val="20"/>
          <w:lang w:val="en-GB"/>
        </w:rPr>
      </w:pPr>
      <w:r w:rsidRPr="00C911A7">
        <w:rPr>
          <w:rStyle w:val="Funotenzeichen"/>
          <w:sz w:val="20"/>
          <w:szCs w:val="20"/>
          <w:lang w:val="en-GB"/>
        </w:rPr>
        <w:footnoteRef/>
      </w:r>
      <w:r w:rsidRPr="00C911A7">
        <w:rPr>
          <w:sz w:val="20"/>
          <w:szCs w:val="20"/>
          <w:lang w:val="en-GB"/>
        </w:rPr>
        <w:t xml:space="preserve"> Rosenfeld, Comparing Constitutional Review, p. 48.</w:t>
      </w:r>
    </w:p>
  </w:footnote>
  <w:footnote w:id="50">
    <w:p w14:paraId="644F19D9" w14:textId="1CEDF697" w:rsidR="008C7313" w:rsidRPr="00C911A7" w:rsidRDefault="008C7313" w:rsidP="00F21E2E">
      <w:pPr>
        <w:pStyle w:val="FN"/>
        <w:rPr>
          <w:lang w:val="en-GB"/>
        </w:rPr>
      </w:pPr>
      <w:r w:rsidRPr="00C911A7">
        <w:rPr>
          <w:rStyle w:val="Funotenzeichen"/>
          <w:lang w:val="en-GB"/>
        </w:rPr>
        <w:footnoteRef/>
      </w:r>
      <w:r w:rsidRPr="00C911A7">
        <w:rPr>
          <w:i/>
          <w:lang w:val="en-GB"/>
        </w:rPr>
        <w:t xml:space="preserve"> </w:t>
      </w:r>
      <w:proofErr w:type="spellStart"/>
      <w:r w:rsidRPr="00C911A7">
        <w:rPr>
          <w:lang w:val="en-GB"/>
        </w:rPr>
        <w:t>Böckenförde</w:t>
      </w:r>
      <w:proofErr w:type="spellEnd"/>
      <w:r w:rsidRPr="00C911A7">
        <w:rPr>
          <w:lang w:val="en-GB"/>
        </w:rPr>
        <w:t xml:space="preserve">, </w:t>
      </w:r>
      <w:proofErr w:type="spellStart"/>
      <w:r w:rsidRPr="00C911A7">
        <w:rPr>
          <w:lang w:val="en-GB"/>
        </w:rPr>
        <w:t>Zur</w:t>
      </w:r>
      <w:proofErr w:type="spellEnd"/>
      <w:r w:rsidRPr="00C911A7">
        <w:rPr>
          <w:lang w:val="en-GB"/>
        </w:rPr>
        <w:t xml:space="preserve"> </w:t>
      </w:r>
      <w:proofErr w:type="spellStart"/>
      <w:r w:rsidRPr="00C911A7">
        <w:rPr>
          <w:lang w:val="en-GB"/>
        </w:rPr>
        <w:t>Lage</w:t>
      </w:r>
      <w:proofErr w:type="spellEnd"/>
      <w:r w:rsidRPr="00C911A7">
        <w:rPr>
          <w:lang w:val="en-GB"/>
        </w:rPr>
        <w:t xml:space="preserve"> der </w:t>
      </w:r>
      <w:proofErr w:type="spellStart"/>
      <w:r w:rsidRPr="00C911A7">
        <w:rPr>
          <w:lang w:val="en-GB"/>
        </w:rPr>
        <w:t>Grundrechtsdogmatik</w:t>
      </w:r>
      <w:proofErr w:type="spellEnd"/>
      <w:r w:rsidRPr="00C911A7">
        <w:rPr>
          <w:lang w:val="en-GB"/>
        </w:rPr>
        <w:t xml:space="preserve"> </w:t>
      </w:r>
      <w:proofErr w:type="spellStart"/>
      <w:r w:rsidRPr="00C911A7">
        <w:rPr>
          <w:lang w:val="en-GB"/>
        </w:rPr>
        <w:t>nach</w:t>
      </w:r>
      <w:proofErr w:type="spellEnd"/>
      <w:r w:rsidRPr="00C911A7">
        <w:rPr>
          <w:lang w:val="en-GB"/>
        </w:rPr>
        <w:t xml:space="preserve"> 40 </w:t>
      </w:r>
      <w:proofErr w:type="spellStart"/>
      <w:r w:rsidRPr="00C911A7">
        <w:rPr>
          <w:lang w:val="en-GB"/>
        </w:rPr>
        <w:t>Jahren</w:t>
      </w:r>
      <w:proofErr w:type="spellEnd"/>
      <w:r w:rsidRPr="00C911A7">
        <w:rPr>
          <w:lang w:val="en-GB"/>
        </w:rPr>
        <w:t>.</w:t>
      </w:r>
    </w:p>
  </w:footnote>
  <w:footnote w:id="51">
    <w:p w14:paraId="64BA25D6" w14:textId="686517B8" w:rsidR="008C7313" w:rsidRPr="006C6B32" w:rsidRDefault="008C7313" w:rsidP="006C6B32">
      <w:pPr>
        <w:pStyle w:val="FN"/>
        <w:rPr>
          <w:lang w:val="en-GB"/>
        </w:rPr>
      </w:pPr>
      <w:r w:rsidRPr="006C6B32">
        <w:rPr>
          <w:rStyle w:val="Funotenzeichen"/>
          <w:lang w:val="en-GB"/>
        </w:rPr>
        <w:footnoteRef/>
      </w:r>
      <w:r w:rsidRPr="006C6B32">
        <w:rPr>
          <w:lang w:val="en-GB"/>
        </w:rPr>
        <w:t xml:space="preserve"> One prime example is the Constitutional Court of Austria, which fundamentally changed its jurisprudence at least partly in light of the judicial activism displayed </w:t>
      </w:r>
      <w:r>
        <w:rPr>
          <w:lang w:val="en-GB"/>
        </w:rPr>
        <w:t xml:space="preserve">by the </w:t>
      </w:r>
      <w:proofErr w:type="spellStart"/>
      <w:r>
        <w:rPr>
          <w:lang w:val="en-GB"/>
        </w:rPr>
        <w:t>Bundesverfassungsgericht</w:t>
      </w:r>
      <w:proofErr w:type="spellEnd"/>
      <w:r>
        <w:rPr>
          <w:lang w:val="en-GB"/>
        </w:rPr>
        <w:t xml:space="preserve">; see </w:t>
      </w:r>
      <w:proofErr w:type="spellStart"/>
      <w:r w:rsidRPr="00C911A7">
        <w:rPr>
          <w:lang w:val="en-GB"/>
        </w:rPr>
        <w:t>Eberhard</w:t>
      </w:r>
      <w:proofErr w:type="spellEnd"/>
      <w:r w:rsidRPr="00C911A7">
        <w:rPr>
          <w:lang w:val="en-GB"/>
        </w:rPr>
        <w:t>/</w:t>
      </w:r>
      <w:proofErr w:type="spellStart"/>
      <w:r w:rsidRPr="00C911A7">
        <w:rPr>
          <w:lang w:val="en-GB"/>
        </w:rPr>
        <w:t>Öhlinger</w:t>
      </w:r>
      <w:proofErr w:type="spellEnd"/>
      <w:r w:rsidRPr="00C911A7">
        <w:rPr>
          <w:lang w:val="en-GB"/>
        </w:rPr>
        <w:t xml:space="preserve">, </w:t>
      </w:r>
      <w:proofErr w:type="spellStart"/>
      <w:r w:rsidRPr="00C911A7">
        <w:rPr>
          <w:lang w:val="en-GB"/>
        </w:rPr>
        <w:t>Verfassungsrecht</w:t>
      </w:r>
      <w:proofErr w:type="spellEnd"/>
      <w:r w:rsidRPr="00C911A7">
        <w:rPr>
          <w:lang w:val="en-GB"/>
        </w:rPr>
        <w:t>, p. 37</w:t>
      </w:r>
      <w:r>
        <w:rPr>
          <w:lang w:val="en-GB"/>
        </w:rPr>
        <w:t>.</w:t>
      </w:r>
    </w:p>
  </w:footnote>
  <w:footnote w:id="52">
    <w:p w14:paraId="2C9C9708" w14:textId="2EC39C00" w:rsidR="008C7313" w:rsidRPr="00C911A7" w:rsidRDefault="008C7313" w:rsidP="00DD7F20">
      <w:pPr>
        <w:pStyle w:val="FN"/>
        <w:rPr>
          <w:lang w:val="en-GB"/>
        </w:rPr>
      </w:pPr>
      <w:r w:rsidRPr="00C911A7">
        <w:rPr>
          <w:rStyle w:val="Funotenzeichen"/>
          <w:lang w:val="en-GB"/>
        </w:rPr>
        <w:footnoteRef/>
      </w:r>
      <w:r w:rsidRPr="00C911A7">
        <w:rPr>
          <w:lang w:val="en-GB"/>
        </w:rPr>
        <w:t xml:space="preserve"> Rosenfeld, Comparing Constitutional Review, p. 48.</w:t>
      </w:r>
    </w:p>
  </w:footnote>
  <w:footnote w:id="53">
    <w:p w14:paraId="6B7634BE" w14:textId="33918F14" w:rsidR="008C7313" w:rsidRDefault="008C7313" w:rsidP="00DD7F20">
      <w:pPr>
        <w:pStyle w:val="FN"/>
      </w:pPr>
      <w:r w:rsidRPr="00C911A7">
        <w:rPr>
          <w:rStyle w:val="Funotenzeichen"/>
          <w:lang w:val="en-GB"/>
        </w:rPr>
        <w:footnoteRef/>
      </w:r>
      <w:r w:rsidRPr="00C911A7">
        <w:rPr>
          <w:lang w:val="en-GB"/>
        </w:rPr>
        <w:t xml:space="preserve"> As explained underneath.</w:t>
      </w:r>
    </w:p>
  </w:footnote>
  <w:footnote w:id="54">
    <w:p w14:paraId="53F346E0" w14:textId="400C85AD" w:rsidR="008C7313" w:rsidRPr="0092099E" w:rsidRDefault="008C7313" w:rsidP="0092099E">
      <w:pPr>
        <w:pStyle w:val="FN"/>
        <w:rPr>
          <w:lang w:val="en-GB"/>
        </w:rPr>
      </w:pPr>
      <w:r w:rsidRPr="0092099E">
        <w:rPr>
          <w:rStyle w:val="Funotenzeichen"/>
          <w:lang w:val="en-GB"/>
        </w:rPr>
        <w:footnoteRef/>
      </w:r>
      <w:r w:rsidR="00032367">
        <w:rPr>
          <w:lang w:val="en-GB"/>
        </w:rPr>
        <w:t xml:space="preserve"> Article</w:t>
      </w:r>
      <w:r w:rsidRPr="0092099E">
        <w:rPr>
          <w:lang w:val="en-GB"/>
        </w:rPr>
        <w:t xml:space="preserve"> 1 GG.</w:t>
      </w:r>
    </w:p>
  </w:footnote>
  <w:footnote w:id="55">
    <w:p w14:paraId="031116B3" w14:textId="7AF1A043" w:rsidR="008C7313" w:rsidRDefault="008C7313" w:rsidP="0092099E">
      <w:pPr>
        <w:pStyle w:val="FN"/>
      </w:pPr>
      <w:r w:rsidRPr="0092099E">
        <w:rPr>
          <w:rStyle w:val="Funotenzeichen"/>
          <w:lang w:val="en-GB"/>
        </w:rPr>
        <w:footnoteRef/>
      </w:r>
      <w:r w:rsidR="00032367">
        <w:rPr>
          <w:lang w:val="en-GB"/>
        </w:rPr>
        <w:t xml:space="preserve"> Article</w:t>
      </w:r>
      <w:r w:rsidRPr="0092099E">
        <w:rPr>
          <w:lang w:val="en-GB"/>
        </w:rPr>
        <w:t xml:space="preserve"> 1-19 GG.</w:t>
      </w:r>
    </w:p>
  </w:footnote>
  <w:footnote w:id="56">
    <w:p w14:paraId="153E49C0" w14:textId="1628EE97" w:rsidR="008C7313" w:rsidRPr="00C911A7" w:rsidRDefault="008C7313" w:rsidP="004C4ECB">
      <w:pPr>
        <w:pStyle w:val="FN"/>
        <w:rPr>
          <w:lang w:val="en-GB"/>
        </w:rPr>
      </w:pPr>
      <w:r w:rsidRPr="00C911A7">
        <w:rPr>
          <w:rStyle w:val="Funotenzeichen"/>
          <w:lang w:val="en-GB"/>
        </w:rPr>
        <w:footnoteRef/>
      </w:r>
      <w:r w:rsidRPr="00C911A7">
        <w:rPr>
          <w:lang w:val="en-GB"/>
        </w:rPr>
        <w:t xml:space="preserve"> Nowak, </w:t>
      </w:r>
      <w:proofErr w:type="spellStart"/>
      <w:r w:rsidRPr="00C911A7">
        <w:rPr>
          <w:lang w:val="en-GB"/>
        </w:rPr>
        <w:t>Brauchen</w:t>
      </w:r>
      <w:proofErr w:type="spellEnd"/>
      <w:r w:rsidRPr="00C911A7">
        <w:rPr>
          <w:lang w:val="en-GB"/>
        </w:rPr>
        <w:t xml:space="preserve"> </w:t>
      </w:r>
      <w:proofErr w:type="spellStart"/>
      <w:r w:rsidRPr="00C911A7">
        <w:rPr>
          <w:lang w:val="en-GB"/>
        </w:rPr>
        <w:t>wir</w:t>
      </w:r>
      <w:proofErr w:type="spellEnd"/>
      <w:r w:rsidRPr="00C911A7">
        <w:rPr>
          <w:lang w:val="en-GB"/>
        </w:rPr>
        <w:t xml:space="preserve"> </w:t>
      </w:r>
      <w:proofErr w:type="spellStart"/>
      <w:r w:rsidRPr="00C911A7">
        <w:rPr>
          <w:lang w:val="en-GB"/>
        </w:rPr>
        <w:t>eine</w:t>
      </w:r>
      <w:proofErr w:type="spellEnd"/>
      <w:r w:rsidRPr="00C911A7">
        <w:rPr>
          <w:lang w:val="en-GB"/>
        </w:rPr>
        <w:t xml:space="preserve"> </w:t>
      </w:r>
      <w:proofErr w:type="spellStart"/>
      <w:r w:rsidRPr="00C911A7">
        <w:rPr>
          <w:lang w:val="en-GB"/>
        </w:rPr>
        <w:t>Europäische</w:t>
      </w:r>
      <w:proofErr w:type="spellEnd"/>
      <w:r w:rsidRPr="00C911A7">
        <w:rPr>
          <w:lang w:val="en-GB"/>
        </w:rPr>
        <w:t xml:space="preserve"> </w:t>
      </w:r>
      <w:proofErr w:type="spellStart"/>
      <w:r w:rsidRPr="00C911A7">
        <w:rPr>
          <w:lang w:val="en-GB"/>
        </w:rPr>
        <w:t>Grundrechtscharta</w:t>
      </w:r>
      <w:proofErr w:type="spellEnd"/>
      <w:r w:rsidRPr="00C911A7">
        <w:rPr>
          <w:lang w:val="en-GB"/>
        </w:rPr>
        <w:t>, p. 177.</w:t>
      </w:r>
    </w:p>
  </w:footnote>
  <w:footnote w:id="57">
    <w:p w14:paraId="3D975C3D" w14:textId="01B99AAB" w:rsidR="008C7313" w:rsidRPr="00C911A7" w:rsidRDefault="008C7313" w:rsidP="004C4ECB">
      <w:pPr>
        <w:pStyle w:val="FN"/>
        <w:rPr>
          <w:lang w:val="en-GB"/>
        </w:rPr>
      </w:pPr>
      <w:r w:rsidRPr="00C911A7">
        <w:rPr>
          <w:rStyle w:val="Funotenzeichen"/>
          <w:lang w:val="en-GB"/>
        </w:rPr>
        <w:footnoteRef/>
      </w:r>
      <w:r w:rsidRPr="00C911A7">
        <w:rPr>
          <w:lang w:val="en-GB"/>
        </w:rPr>
        <w:t xml:space="preserve"> </w:t>
      </w:r>
      <w:proofErr w:type="spellStart"/>
      <w:r w:rsidRPr="00C911A7">
        <w:rPr>
          <w:lang w:val="en-GB"/>
        </w:rPr>
        <w:t>BVerfGE</w:t>
      </w:r>
      <w:proofErr w:type="spellEnd"/>
      <w:r w:rsidRPr="00C911A7">
        <w:rPr>
          <w:lang w:val="en-GB"/>
        </w:rPr>
        <w:t xml:space="preserve"> 37, 271 ff.; The so-called “</w:t>
      </w:r>
      <w:proofErr w:type="spellStart"/>
      <w:r w:rsidRPr="00C911A7">
        <w:rPr>
          <w:lang w:val="en-GB"/>
        </w:rPr>
        <w:t>Solange</w:t>
      </w:r>
      <w:proofErr w:type="spellEnd"/>
      <w:r w:rsidRPr="00C911A7">
        <w:rPr>
          <w:lang w:val="en-GB"/>
        </w:rPr>
        <w:t xml:space="preserve"> I” judgment.</w:t>
      </w:r>
    </w:p>
  </w:footnote>
  <w:footnote w:id="58">
    <w:p w14:paraId="490E49BC" w14:textId="07700267" w:rsidR="008C7313" w:rsidRPr="00C911A7" w:rsidRDefault="008C7313">
      <w:pPr>
        <w:pStyle w:val="Funotentext"/>
        <w:rPr>
          <w:sz w:val="20"/>
          <w:szCs w:val="20"/>
          <w:lang w:val="en-GB"/>
        </w:rPr>
      </w:pPr>
      <w:r w:rsidRPr="00C911A7">
        <w:rPr>
          <w:rStyle w:val="Funotenzeichen"/>
          <w:sz w:val="20"/>
          <w:szCs w:val="20"/>
          <w:lang w:val="en-GB"/>
        </w:rPr>
        <w:footnoteRef/>
      </w:r>
      <w:r w:rsidRPr="00C911A7">
        <w:rPr>
          <w:sz w:val="20"/>
          <w:szCs w:val="20"/>
          <w:lang w:val="en-GB"/>
        </w:rPr>
        <w:t xml:space="preserve"> </w:t>
      </w:r>
      <w:proofErr w:type="spellStart"/>
      <w:r w:rsidRPr="00C911A7">
        <w:rPr>
          <w:sz w:val="20"/>
          <w:szCs w:val="20"/>
          <w:lang w:val="en-GB"/>
        </w:rPr>
        <w:t>Weiler</w:t>
      </w:r>
      <w:proofErr w:type="spellEnd"/>
      <w:r w:rsidRPr="00C911A7">
        <w:rPr>
          <w:sz w:val="20"/>
          <w:szCs w:val="20"/>
          <w:lang w:val="en-GB"/>
        </w:rPr>
        <w:t>, The Transformation of Europe, p. 2417.</w:t>
      </w:r>
    </w:p>
  </w:footnote>
  <w:footnote w:id="59">
    <w:p w14:paraId="4F6715EF" w14:textId="354FB2E9" w:rsidR="008C7313" w:rsidRDefault="008C7313" w:rsidP="004C4ECB">
      <w:pPr>
        <w:pStyle w:val="FN"/>
      </w:pPr>
      <w:r w:rsidRPr="00C911A7">
        <w:rPr>
          <w:rStyle w:val="Funotenzeichen"/>
          <w:lang w:val="en-GB"/>
        </w:rPr>
        <w:footnoteRef/>
      </w:r>
      <w:r w:rsidRPr="00C911A7">
        <w:rPr>
          <w:lang w:val="en-GB"/>
        </w:rPr>
        <w:t xml:space="preserve"> </w:t>
      </w:r>
      <w:proofErr w:type="spellStart"/>
      <w:r w:rsidRPr="00C911A7">
        <w:rPr>
          <w:lang w:val="en-GB"/>
        </w:rPr>
        <w:t>BVerfGE</w:t>
      </w:r>
      <w:proofErr w:type="spellEnd"/>
      <w:r w:rsidRPr="00C911A7">
        <w:rPr>
          <w:lang w:val="en-GB"/>
        </w:rPr>
        <w:t xml:space="preserve"> 73, 339.</w:t>
      </w:r>
    </w:p>
  </w:footnote>
  <w:footnote w:id="60">
    <w:p w14:paraId="3E789DE9" w14:textId="6AAB3E1F" w:rsidR="008C7313" w:rsidRPr="00C911A7" w:rsidRDefault="008C7313" w:rsidP="00C911A7">
      <w:pPr>
        <w:pStyle w:val="FN"/>
        <w:rPr>
          <w:lang w:val="en-GB"/>
        </w:rPr>
      </w:pPr>
      <w:r w:rsidRPr="00C911A7">
        <w:rPr>
          <w:rStyle w:val="Funotenzeichen"/>
          <w:lang w:val="en-GB"/>
        </w:rPr>
        <w:footnoteRef/>
      </w:r>
      <w:r w:rsidRPr="00C911A7">
        <w:rPr>
          <w:lang w:val="en-GB"/>
        </w:rPr>
        <w:t xml:space="preserve"> Among others: </w:t>
      </w:r>
      <w:proofErr w:type="spellStart"/>
      <w:r w:rsidRPr="00C911A7">
        <w:rPr>
          <w:lang w:val="en-GB"/>
        </w:rPr>
        <w:t>Hesse</w:t>
      </w:r>
      <w:proofErr w:type="spellEnd"/>
      <w:r w:rsidRPr="00C911A7">
        <w:rPr>
          <w:lang w:val="en-GB"/>
        </w:rPr>
        <w:t xml:space="preserve">, </w:t>
      </w:r>
      <w:proofErr w:type="spellStart"/>
      <w:r w:rsidRPr="00C911A7">
        <w:rPr>
          <w:lang w:val="en-GB"/>
        </w:rPr>
        <w:t>Grundzüge</w:t>
      </w:r>
      <w:proofErr w:type="spellEnd"/>
      <w:r w:rsidRPr="00C911A7">
        <w:rPr>
          <w:lang w:val="en-GB"/>
        </w:rPr>
        <w:t>, p. 47f.; see also Conway, Legal Reasoning, p. 86.</w:t>
      </w:r>
    </w:p>
  </w:footnote>
  <w:footnote w:id="61">
    <w:p w14:paraId="01CF1142" w14:textId="7ADAD70A" w:rsidR="008C7313" w:rsidRPr="006239FF" w:rsidRDefault="008C7313">
      <w:pPr>
        <w:pStyle w:val="Funotentext"/>
        <w:rPr>
          <w:sz w:val="20"/>
          <w:szCs w:val="20"/>
        </w:rPr>
      </w:pPr>
      <w:r w:rsidRPr="00C911A7">
        <w:rPr>
          <w:rStyle w:val="Funotenzeichen"/>
          <w:sz w:val="20"/>
          <w:szCs w:val="20"/>
          <w:lang w:val="en-GB"/>
        </w:rPr>
        <w:footnoteRef/>
      </w:r>
      <w:r w:rsidRPr="00C911A7">
        <w:rPr>
          <w:sz w:val="20"/>
          <w:szCs w:val="20"/>
          <w:lang w:val="en-GB"/>
        </w:rPr>
        <w:t xml:space="preserve"> This marks an idea I drew inspiration upon on </w:t>
      </w:r>
      <w:proofErr w:type="spellStart"/>
      <w:r w:rsidRPr="00C911A7">
        <w:rPr>
          <w:sz w:val="20"/>
          <w:szCs w:val="20"/>
          <w:lang w:val="en-GB"/>
        </w:rPr>
        <w:t>Stelzer</w:t>
      </w:r>
      <w:proofErr w:type="spellEnd"/>
      <w:r w:rsidRPr="00C911A7">
        <w:rPr>
          <w:sz w:val="20"/>
          <w:szCs w:val="20"/>
          <w:lang w:val="en-GB"/>
        </w:rPr>
        <w:t xml:space="preserve">, </w:t>
      </w:r>
      <w:proofErr w:type="spellStart"/>
      <w:r w:rsidRPr="00C911A7">
        <w:rPr>
          <w:sz w:val="20"/>
          <w:szCs w:val="20"/>
          <w:lang w:val="en-GB"/>
        </w:rPr>
        <w:t>Grundzüge</w:t>
      </w:r>
      <w:proofErr w:type="spellEnd"/>
      <w:r w:rsidRPr="00C911A7">
        <w:rPr>
          <w:sz w:val="20"/>
          <w:szCs w:val="20"/>
          <w:lang w:val="en-GB"/>
        </w:rPr>
        <w:t xml:space="preserve"> des </w:t>
      </w:r>
      <w:proofErr w:type="spellStart"/>
      <w:r w:rsidRPr="00C911A7">
        <w:rPr>
          <w:sz w:val="20"/>
          <w:szCs w:val="20"/>
          <w:lang w:val="en-GB"/>
        </w:rPr>
        <w:t>öffentlichen</w:t>
      </w:r>
      <w:proofErr w:type="spellEnd"/>
      <w:r w:rsidRPr="00C911A7">
        <w:rPr>
          <w:sz w:val="20"/>
          <w:szCs w:val="20"/>
          <w:lang w:val="en-GB"/>
        </w:rPr>
        <w:t xml:space="preserve"> </w:t>
      </w:r>
      <w:proofErr w:type="spellStart"/>
      <w:r w:rsidRPr="00C911A7">
        <w:rPr>
          <w:sz w:val="20"/>
          <w:szCs w:val="20"/>
          <w:lang w:val="en-GB"/>
        </w:rPr>
        <w:t>Rechts</w:t>
      </w:r>
      <w:proofErr w:type="spellEnd"/>
      <w:r w:rsidRPr="00C911A7">
        <w:rPr>
          <w:sz w:val="20"/>
          <w:szCs w:val="20"/>
          <w:lang w:val="en-GB"/>
        </w:rPr>
        <w:t>, p. ???.</w:t>
      </w:r>
    </w:p>
  </w:footnote>
  <w:footnote w:id="62">
    <w:p w14:paraId="0D42776B" w14:textId="3C3BF0E2" w:rsidR="008C7313" w:rsidRPr="00C911A7" w:rsidRDefault="008C7313">
      <w:pPr>
        <w:pStyle w:val="Funotentext"/>
        <w:rPr>
          <w:sz w:val="20"/>
          <w:szCs w:val="20"/>
          <w:lang w:val="en-GB"/>
        </w:rPr>
      </w:pPr>
      <w:r w:rsidRPr="00C911A7">
        <w:rPr>
          <w:rStyle w:val="Funotenzeichen"/>
          <w:sz w:val="20"/>
          <w:szCs w:val="20"/>
          <w:lang w:val="en-GB"/>
        </w:rPr>
        <w:footnoteRef/>
      </w:r>
      <w:r w:rsidRPr="00C911A7">
        <w:rPr>
          <w:sz w:val="20"/>
          <w:szCs w:val="20"/>
          <w:lang w:val="en-GB"/>
        </w:rPr>
        <w:t xml:space="preserve"> </w:t>
      </w:r>
      <w:proofErr w:type="spellStart"/>
      <w:r w:rsidRPr="00C911A7">
        <w:rPr>
          <w:sz w:val="20"/>
          <w:szCs w:val="20"/>
          <w:lang w:val="en-GB"/>
        </w:rPr>
        <w:t>Weiler</w:t>
      </w:r>
      <w:proofErr w:type="spellEnd"/>
      <w:r>
        <w:rPr>
          <w:sz w:val="20"/>
          <w:szCs w:val="20"/>
          <w:lang w:val="en-GB"/>
        </w:rPr>
        <w:t xml:space="preserve">, The Transformation of Europe, </w:t>
      </w:r>
      <w:r w:rsidRPr="00C911A7">
        <w:rPr>
          <w:sz w:val="20"/>
          <w:szCs w:val="20"/>
          <w:lang w:val="en-GB"/>
        </w:rPr>
        <w:t>p. 2428.</w:t>
      </w:r>
    </w:p>
  </w:footnote>
  <w:footnote w:id="63">
    <w:p w14:paraId="726BD6D9" w14:textId="0D22B1F3" w:rsidR="008C7313" w:rsidRPr="00C911A7" w:rsidRDefault="008C7313">
      <w:pPr>
        <w:pStyle w:val="Funotentext"/>
        <w:rPr>
          <w:lang w:val="en-GB"/>
        </w:rPr>
      </w:pPr>
      <w:r w:rsidRPr="00C911A7">
        <w:rPr>
          <w:rStyle w:val="Funotenzeichen"/>
          <w:lang w:val="en-GB"/>
        </w:rPr>
        <w:footnoteRef/>
      </w:r>
      <w:r w:rsidRPr="00C911A7">
        <w:rPr>
          <w:lang w:val="en-GB"/>
        </w:rPr>
        <w:t xml:space="preserve"> </w:t>
      </w:r>
      <w:r w:rsidRPr="00C911A7">
        <w:rPr>
          <w:sz w:val="20"/>
          <w:szCs w:val="20"/>
          <w:lang w:val="en-GB"/>
        </w:rPr>
        <w:t xml:space="preserve">Wahl, </w:t>
      </w:r>
      <w:proofErr w:type="spellStart"/>
      <w:r w:rsidRPr="00C911A7">
        <w:rPr>
          <w:sz w:val="20"/>
          <w:szCs w:val="20"/>
          <w:lang w:val="en-GB"/>
        </w:rPr>
        <w:t>Lüth</w:t>
      </w:r>
      <w:proofErr w:type="spellEnd"/>
      <w:r w:rsidRPr="00C911A7">
        <w:rPr>
          <w:sz w:val="20"/>
          <w:szCs w:val="20"/>
          <w:lang w:val="en-GB"/>
        </w:rPr>
        <w:t xml:space="preserve"> und die </w:t>
      </w:r>
      <w:proofErr w:type="spellStart"/>
      <w:r w:rsidRPr="00C911A7">
        <w:rPr>
          <w:sz w:val="20"/>
          <w:szCs w:val="20"/>
          <w:lang w:val="en-GB"/>
        </w:rPr>
        <w:t>Folgen</w:t>
      </w:r>
      <w:proofErr w:type="spellEnd"/>
      <w:r w:rsidRPr="00C911A7">
        <w:rPr>
          <w:sz w:val="20"/>
          <w:szCs w:val="20"/>
          <w:lang w:val="en-GB"/>
        </w:rPr>
        <w:t>, p. 385.</w:t>
      </w:r>
    </w:p>
  </w:footnote>
  <w:footnote w:id="64">
    <w:p w14:paraId="7AE31889" w14:textId="679C9D05" w:rsidR="008C7313" w:rsidRPr="00C911A7" w:rsidRDefault="008C7313" w:rsidP="004C4ECB">
      <w:pPr>
        <w:pStyle w:val="FN"/>
        <w:rPr>
          <w:lang w:val="en-GB"/>
        </w:rPr>
      </w:pPr>
      <w:r w:rsidRPr="00C911A7">
        <w:rPr>
          <w:rStyle w:val="Funotenzeichen"/>
          <w:lang w:val="en-GB"/>
        </w:rPr>
        <w:footnoteRef/>
      </w:r>
      <w:r w:rsidRPr="00C911A7">
        <w:rPr>
          <w:lang w:val="en-GB"/>
        </w:rPr>
        <w:t xml:space="preserve"> The required level of education and practical experience to work as a judge makes it difficult to replace many judges in a short period of time.</w:t>
      </w:r>
    </w:p>
  </w:footnote>
  <w:footnote w:id="65">
    <w:p w14:paraId="49392054" w14:textId="2B3C7EF9" w:rsidR="008C7313" w:rsidRPr="00C911A7" w:rsidRDefault="008C7313" w:rsidP="005C402F">
      <w:pPr>
        <w:pStyle w:val="FN"/>
        <w:rPr>
          <w:lang w:val="en-GB"/>
        </w:rPr>
      </w:pPr>
      <w:r w:rsidRPr="00C911A7">
        <w:rPr>
          <w:rStyle w:val="Funotenzeichen"/>
          <w:lang w:val="en-GB"/>
        </w:rPr>
        <w:footnoteRef/>
      </w:r>
      <w:r w:rsidRPr="00C911A7">
        <w:rPr>
          <w:lang w:val="en-GB"/>
        </w:rPr>
        <w:t xml:space="preserve"> One main feature of any rule of law concept is the independence of the judiciary branch and its actors, including the protection of replacement of judges.</w:t>
      </w:r>
    </w:p>
  </w:footnote>
  <w:footnote w:id="66">
    <w:p w14:paraId="64E4B595" w14:textId="7DA33C31" w:rsidR="008C7313" w:rsidRPr="00C911A7" w:rsidRDefault="008C7313" w:rsidP="005C402F">
      <w:pPr>
        <w:pStyle w:val="FN"/>
        <w:rPr>
          <w:lang w:val="en-GB"/>
        </w:rPr>
      </w:pPr>
      <w:r w:rsidRPr="00C911A7">
        <w:rPr>
          <w:rStyle w:val="Funotenzeichen"/>
          <w:lang w:val="en-GB"/>
        </w:rPr>
        <w:footnoteRef/>
      </w:r>
      <w:r w:rsidRPr="00C911A7">
        <w:rPr>
          <w:lang w:val="en-GB"/>
        </w:rPr>
        <w:t xml:space="preserve"> Metzler, Die </w:t>
      </w:r>
      <w:proofErr w:type="spellStart"/>
      <w:r w:rsidRPr="00C911A7">
        <w:rPr>
          <w:lang w:val="en-GB"/>
        </w:rPr>
        <w:t>Bundesrepublik</w:t>
      </w:r>
      <w:proofErr w:type="spellEnd"/>
      <w:r w:rsidRPr="00C911A7">
        <w:rPr>
          <w:lang w:val="en-GB"/>
        </w:rPr>
        <w:t xml:space="preserve"> in den 50er </w:t>
      </w:r>
      <w:proofErr w:type="spellStart"/>
      <w:r w:rsidRPr="00C911A7">
        <w:rPr>
          <w:lang w:val="en-GB"/>
        </w:rPr>
        <w:t>Jahren</w:t>
      </w:r>
      <w:proofErr w:type="spellEnd"/>
      <w:r w:rsidRPr="00C911A7">
        <w:rPr>
          <w:lang w:val="en-GB"/>
        </w:rPr>
        <w:t>, p. 39.</w:t>
      </w:r>
    </w:p>
  </w:footnote>
  <w:footnote w:id="67">
    <w:p w14:paraId="57F727A3" w14:textId="7A20A13C" w:rsidR="008C7313" w:rsidRPr="00C911A7" w:rsidRDefault="008C7313" w:rsidP="005C402F">
      <w:pPr>
        <w:pStyle w:val="FN"/>
        <w:rPr>
          <w:lang w:val="en-GB"/>
        </w:rPr>
      </w:pPr>
      <w:r w:rsidRPr="00C911A7">
        <w:rPr>
          <w:rStyle w:val="Funotenzeichen"/>
          <w:lang w:val="en-GB"/>
        </w:rPr>
        <w:footnoteRef/>
      </w:r>
      <w:r w:rsidRPr="00C911A7">
        <w:rPr>
          <w:lang w:val="en-GB"/>
        </w:rPr>
        <w:t xml:space="preserve"> </w:t>
      </w:r>
      <w:proofErr w:type="spellStart"/>
      <w:r w:rsidRPr="00C911A7">
        <w:rPr>
          <w:lang w:val="en-GB"/>
        </w:rPr>
        <w:t>Henne</w:t>
      </w:r>
      <w:proofErr w:type="spellEnd"/>
      <w:r w:rsidRPr="00C911A7">
        <w:rPr>
          <w:lang w:val="en-GB"/>
        </w:rPr>
        <w:t xml:space="preserve">, </w:t>
      </w:r>
      <w:proofErr w:type="spellStart"/>
      <w:r w:rsidRPr="00C911A7">
        <w:rPr>
          <w:lang w:val="en-GB"/>
        </w:rPr>
        <w:t>Lüth</w:t>
      </w:r>
      <w:proofErr w:type="spellEnd"/>
      <w:r w:rsidRPr="00C911A7">
        <w:rPr>
          <w:lang w:val="en-GB"/>
        </w:rPr>
        <w:t>, p. 199f.</w:t>
      </w:r>
    </w:p>
  </w:footnote>
  <w:footnote w:id="68">
    <w:p w14:paraId="55CDF197" w14:textId="5E3D2125" w:rsidR="008C7313" w:rsidRDefault="008C7313" w:rsidP="005C402F">
      <w:pPr>
        <w:pStyle w:val="FN"/>
      </w:pPr>
      <w:r w:rsidRPr="00C911A7">
        <w:rPr>
          <w:rStyle w:val="Funotenzeichen"/>
          <w:lang w:val="en-GB"/>
        </w:rPr>
        <w:footnoteRef/>
      </w:r>
      <w:r w:rsidRPr="00C911A7">
        <w:rPr>
          <w:lang w:val="en-GB"/>
        </w:rPr>
        <w:t xml:space="preserve"> </w:t>
      </w:r>
      <w:proofErr w:type="spellStart"/>
      <w:r w:rsidRPr="00C911A7">
        <w:rPr>
          <w:lang w:val="en-GB"/>
        </w:rPr>
        <w:t>BVerfGE</w:t>
      </w:r>
      <w:proofErr w:type="spellEnd"/>
      <w:r w:rsidRPr="00C911A7">
        <w:rPr>
          <w:lang w:val="en-GB"/>
        </w:rPr>
        <w:t xml:space="preserve"> 34, 238ff.</w:t>
      </w:r>
    </w:p>
  </w:footnote>
  <w:footnote w:id="69">
    <w:p w14:paraId="1730366A" w14:textId="09D396C3" w:rsidR="008C7313" w:rsidRPr="00C911A7" w:rsidRDefault="008C7313" w:rsidP="005C402F">
      <w:pPr>
        <w:pStyle w:val="FN"/>
        <w:rPr>
          <w:lang w:val="en-GB"/>
        </w:rPr>
      </w:pPr>
      <w:r w:rsidRPr="00C911A7">
        <w:rPr>
          <w:rStyle w:val="Funotenzeichen"/>
          <w:lang w:val="en-GB"/>
        </w:rPr>
        <w:footnoteRef/>
      </w:r>
      <w:r>
        <w:rPr>
          <w:lang w:val="en-GB"/>
        </w:rPr>
        <w:t xml:space="preserve"> </w:t>
      </w:r>
      <w:proofErr w:type="spellStart"/>
      <w:r>
        <w:rPr>
          <w:lang w:val="en-GB"/>
        </w:rPr>
        <w:t>Gamper</w:t>
      </w:r>
      <w:proofErr w:type="spellEnd"/>
      <w:r>
        <w:rPr>
          <w:lang w:val="en-GB"/>
        </w:rPr>
        <w:t xml:space="preserve">, </w:t>
      </w:r>
      <w:proofErr w:type="spellStart"/>
      <w:r>
        <w:rPr>
          <w:lang w:val="en-GB"/>
        </w:rPr>
        <w:t>Staat</w:t>
      </w:r>
      <w:proofErr w:type="spellEnd"/>
      <w:r>
        <w:rPr>
          <w:lang w:val="en-GB"/>
        </w:rPr>
        <w:t xml:space="preserve"> und </w:t>
      </w:r>
      <w:proofErr w:type="spellStart"/>
      <w:r>
        <w:rPr>
          <w:lang w:val="en-GB"/>
        </w:rPr>
        <w:t>Verfassung</w:t>
      </w:r>
      <w:proofErr w:type="spellEnd"/>
      <w:r>
        <w:rPr>
          <w:lang w:val="en-GB"/>
        </w:rPr>
        <w:t xml:space="preserve">, </w:t>
      </w:r>
      <w:r w:rsidRPr="00C911A7">
        <w:rPr>
          <w:lang w:val="en-GB"/>
        </w:rPr>
        <w:t>p. 62.</w:t>
      </w:r>
    </w:p>
  </w:footnote>
  <w:footnote w:id="70">
    <w:p w14:paraId="61382334" w14:textId="55E05A6A" w:rsidR="008C7313" w:rsidRPr="009E4F4B" w:rsidRDefault="008C7313" w:rsidP="00BE7079">
      <w:pPr>
        <w:pStyle w:val="FN"/>
        <w:rPr>
          <w:color w:val="3366FF"/>
          <w:lang w:val="en-GB"/>
        </w:rPr>
      </w:pPr>
      <w:r w:rsidRPr="009E4F4B">
        <w:rPr>
          <w:rStyle w:val="Funotenzeichen"/>
          <w:color w:val="3366FF"/>
          <w:lang w:val="en-GB"/>
        </w:rPr>
        <w:footnoteRef/>
      </w:r>
      <w:r w:rsidRPr="009E4F4B">
        <w:rPr>
          <w:color w:val="3366FF"/>
          <w:lang w:val="en-GB"/>
        </w:rPr>
        <w:t xml:space="preserve"> </w:t>
      </w:r>
      <w:r w:rsidRPr="008C7313">
        <w:rPr>
          <w:lang w:val="en-GB"/>
        </w:rPr>
        <w:t xml:space="preserve">So-called “hard” constitutions are constitutions that are difficult to alter. A prominent example for a country with a hard constitution is the United States of America, which features a very active Supreme Court. A soft constitution can be found in Austria, which Constitutional Court was an example for judicial restraint, even though its jurisprudence has changed over the last decades; see </w:t>
      </w:r>
      <w:proofErr w:type="spellStart"/>
      <w:r w:rsidRPr="008C7313">
        <w:rPr>
          <w:lang w:val="en-GB"/>
        </w:rPr>
        <w:t>Gamper</w:t>
      </w:r>
      <w:proofErr w:type="spellEnd"/>
      <w:r w:rsidRPr="008C7313">
        <w:rPr>
          <w:lang w:val="en-GB"/>
        </w:rPr>
        <w:t xml:space="preserve">, </w:t>
      </w:r>
      <w:proofErr w:type="spellStart"/>
      <w:r w:rsidRPr="008C7313">
        <w:rPr>
          <w:lang w:val="en-GB"/>
        </w:rPr>
        <w:t>Staat</w:t>
      </w:r>
      <w:proofErr w:type="spellEnd"/>
      <w:r w:rsidRPr="008C7313">
        <w:rPr>
          <w:lang w:val="en-GB"/>
        </w:rPr>
        <w:t xml:space="preserve"> und </w:t>
      </w:r>
      <w:proofErr w:type="spellStart"/>
      <w:r w:rsidRPr="008C7313">
        <w:rPr>
          <w:lang w:val="en-GB"/>
        </w:rPr>
        <w:t>Verfassung</w:t>
      </w:r>
      <w:proofErr w:type="spellEnd"/>
      <w:r w:rsidRPr="008C7313">
        <w:rPr>
          <w:lang w:val="en-GB"/>
        </w:rPr>
        <w:t xml:space="preserve">, p. 62f; </w:t>
      </w:r>
      <w:proofErr w:type="spellStart"/>
      <w:r w:rsidRPr="008C7313">
        <w:rPr>
          <w:lang w:val="en-GB"/>
        </w:rPr>
        <w:t>Eberhard</w:t>
      </w:r>
      <w:proofErr w:type="spellEnd"/>
      <w:r w:rsidRPr="008C7313">
        <w:rPr>
          <w:lang w:val="en-GB"/>
        </w:rPr>
        <w:t>/</w:t>
      </w:r>
      <w:proofErr w:type="spellStart"/>
      <w:r w:rsidRPr="008C7313">
        <w:rPr>
          <w:lang w:val="en-GB"/>
        </w:rPr>
        <w:t>Öhlinger</w:t>
      </w:r>
      <w:proofErr w:type="spellEnd"/>
      <w:r w:rsidRPr="008C7313">
        <w:rPr>
          <w:lang w:val="en-GB"/>
        </w:rPr>
        <w:t xml:space="preserve">, </w:t>
      </w:r>
      <w:proofErr w:type="spellStart"/>
      <w:r w:rsidRPr="008C7313">
        <w:rPr>
          <w:lang w:val="en-GB"/>
        </w:rPr>
        <w:t>Verfassungsrecht</w:t>
      </w:r>
      <w:proofErr w:type="spellEnd"/>
      <w:r w:rsidRPr="008C7313">
        <w:rPr>
          <w:lang w:val="en-GB"/>
        </w:rPr>
        <w:t>, p. 35ff.</w:t>
      </w:r>
    </w:p>
  </w:footnote>
  <w:footnote w:id="71">
    <w:p w14:paraId="7912C8E4" w14:textId="38FAEFBC" w:rsidR="008C7313" w:rsidRPr="00C911A7" w:rsidRDefault="008C7313" w:rsidP="00F90797">
      <w:pPr>
        <w:pStyle w:val="FN"/>
        <w:rPr>
          <w:lang w:val="en-GB"/>
        </w:rPr>
      </w:pPr>
      <w:r w:rsidRPr="00C911A7">
        <w:rPr>
          <w:rStyle w:val="Funotenzeichen"/>
          <w:lang w:val="en-GB"/>
        </w:rPr>
        <w:footnoteRef/>
      </w:r>
      <w:r w:rsidRPr="00C911A7">
        <w:rPr>
          <w:lang w:val="en-GB"/>
        </w:rPr>
        <w:t xml:space="preserve"> </w:t>
      </w:r>
      <w:proofErr w:type="spellStart"/>
      <w:r w:rsidRPr="00C911A7">
        <w:rPr>
          <w:lang w:val="en-GB"/>
        </w:rPr>
        <w:t>Hesse</w:t>
      </w:r>
      <w:proofErr w:type="spellEnd"/>
      <w:r w:rsidRPr="00C911A7">
        <w:rPr>
          <w:lang w:val="en-GB"/>
        </w:rPr>
        <w:t xml:space="preserve">, </w:t>
      </w:r>
      <w:proofErr w:type="spellStart"/>
      <w:r w:rsidRPr="00C911A7">
        <w:rPr>
          <w:lang w:val="en-GB"/>
        </w:rPr>
        <w:t>Grundzüge</w:t>
      </w:r>
      <w:proofErr w:type="spellEnd"/>
      <w:r w:rsidRPr="00C911A7">
        <w:rPr>
          <w:lang w:val="en-GB"/>
        </w:rPr>
        <w:t>, p. 37f.</w:t>
      </w:r>
    </w:p>
  </w:footnote>
  <w:footnote w:id="72">
    <w:p w14:paraId="0F1D1C75" w14:textId="4AEC290B" w:rsidR="008C7313" w:rsidRPr="00C911A7" w:rsidRDefault="008C7313" w:rsidP="00F90797">
      <w:pPr>
        <w:pStyle w:val="FN"/>
        <w:rPr>
          <w:lang w:val="en-GB"/>
        </w:rPr>
      </w:pPr>
      <w:r w:rsidRPr="00C911A7">
        <w:rPr>
          <w:rStyle w:val="Funotenzeichen"/>
          <w:lang w:val="en-GB"/>
        </w:rPr>
        <w:footnoteRef/>
      </w:r>
      <w:r w:rsidRPr="00C911A7">
        <w:rPr>
          <w:lang w:val="en-GB"/>
        </w:rPr>
        <w:t xml:space="preserve"> A solid summary of the historical background and actual sequence in Ludlow, Challenging French Leadership in Europe, p. 231-248.</w:t>
      </w:r>
    </w:p>
  </w:footnote>
  <w:footnote w:id="73">
    <w:p w14:paraId="23931972" w14:textId="1D1D535A" w:rsidR="008C7313" w:rsidRPr="00455594" w:rsidRDefault="008C7313">
      <w:pPr>
        <w:pStyle w:val="Funotentext"/>
        <w:rPr>
          <w:sz w:val="20"/>
          <w:szCs w:val="20"/>
          <w:lang w:val="en-US"/>
        </w:rPr>
      </w:pPr>
      <w:r w:rsidRPr="00C911A7">
        <w:rPr>
          <w:rStyle w:val="Funotenzeichen"/>
          <w:sz w:val="20"/>
          <w:szCs w:val="20"/>
          <w:lang w:val="en-GB"/>
        </w:rPr>
        <w:footnoteRef/>
      </w:r>
      <w:r w:rsidRPr="00C911A7">
        <w:rPr>
          <w:sz w:val="20"/>
          <w:szCs w:val="20"/>
          <w:lang w:val="en-GB"/>
        </w:rPr>
        <w:t xml:space="preserve"> The first one was arguably the rejection of the European Defence Community by the French Parliament in 1954.</w:t>
      </w:r>
    </w:p>
  </w:footnote>
  <w:footnote w:id="74">
    <w:p w14:paraId="4C2C6E09" w14:textId="4B951F4F" w:rsidR="008C7313" w:rsidRPr="00C911A7" w:rsidRDefault="008C7313" w:rsidP="00C911A7">
      <w:pPr>
        <w:pStyle w:val="FN"/>
        <w:rPr>
          <w:lang w:val="en-GB"/>
        </w:rPr>
      </w:pPr>
      <w:r w:rsidRPr="00C911A7">
        <w:rPr>
          <w:rStyle w:val="Funotenzeichen"/>
          <w:lang w:val="en-GB"/>
        </w:rPr>
        <w:footnoteRef/>
      </w:r>
      <w:r w:rsidRPr="00C911A7">
        <w:rPr>
          <w:lang w:val="en-GB"/>
        </w:rPr>
        <w:t xml:space="preserve"> Ludlow, Challenging French Leadership, p. 234.</w:t>
      </w:r>
    </w:p>
  </w:footnote>
  <w:footnote w:id="75">
    <w:p w14:paraId="72D32A3B" w14:textId="71AA8C1E" w:rsidR="008C7313" w:rsidRPr="00C911A7" w:rsidRDefault="008C7313" w:rsidP="00C911A7">
      <w:pPr>
        <w:pStyle w:val="FN"/>
        <w:rPr>
          <w:lang w:val="en-GB"/>
        </w:rPr>
      </w:pPr>
      <w:r w:rsidRPr="00C911A7">
        <w:rPr>
          <w:rStyle w:val="Funotenzeichen"/>
          <w:lang w:val="en-GB"/>
        </w:rPr>
        <w:footnoteRef/>
      </w:r>
      <w:r w:rsidR="00032367">
        <w:rPr>
          <w:lang w:val="en-GB"/>
        </w:rPr>
        <w:t xml:space="preserve"> </w:t>
      </w:r>
      <w:r w:rsidR="00032367" w:rsidRPr="00C911A7">
        <w:rPr>
          <w:lang w:val="en-GB"/>
        </w:rPr>
        <w:t xml:space="preserve">Ludlow, Challenging French Leadership, p. </w:t>
      </w:r>
      <w:r w:rsidRPr="00C911A7">
        <w:rPr>
          <w:lang w:val="en-GB"/>
        </w:rPr>
        <w:t>236.</w:t>
      </w:r>
    </w:p>
  </w:footnote>
  <w:footnote w:id="76">
    <w:p w14:paraId="26EB320B" w14:textId="16E9B3D0" w:rsidR="008C7313" w:rsidRPr="00C911A7" w:rsidRDefault="008C7313" w:rsidP="00C911A7">
      <w:pPr>
        <w:pStyle w:val="FN"/>
        <w:rPr>
          <w:lang w:val="en-GB"/>
        </w:rPr>
      </w:pPr>
      <w:r w:rsidRPr="00C911A7">
        <w:rPr>
          <w:rStyle w:val="Funotenzeichen"/>
          <w:lang w:val="en-GB"/>
        </w:rPr>
        <w:footnoteRef/>
      </w:r>
      <w:r w:rsidRPr="00C911A7">
        <w:rPr>
          <w:lang w:val="en-GB"/>
        </w:rPr>
        <w:t xml:space="preserve"> </w:t>
      </w:r>
      <w:proofErr w:type="spellStart"/>
      <w:r w:rsidRPr="00C911A7">
        <w:rPr>
          <w:lang w:val="en-GB"/>
        </w:rPr>
        <w:t>Marjolin</w:t>
      </w:r>
      <w:proofErr w:type="spellEnd"/>
      <w:r w:rsidRPr="00C911A7">
        <w:rPr>
          <w:lang w:val="en-GB"/>
        </w:rPr>
        <w:t>, Memoirs 1911-1986, p. 347.</w:t>
      </w:r>
    </w:p>
  </w:footnote>
  <w:footnote w:id="77">
    <w:p w14:paraId="052B7797" w14:textId="77777777" w:rsidR="008C7313" w:rsidRDefault="008C7313" w:rsidP="00C911A7">
      <w:pPr>
        <w:pStyle w:val="FN"/>
      </w:pPr>
      <w:r w:rsidRPr="00C911A7">
        <w:rPr>
          <w:rStyle w:val="Funotenzeichen"/>
          <w:lang w:val="en-GB"/>
        </w:rPr>
        <w:footnoteRef/>
      </w:r>
      <w:r w:rsidRPr="00C911A7">
        <w:rPr>
          <w:lang w:val="en-GB"/>
        </w:rPr>
        <w:t xml:space="preserve"> </w:t>
      </w:r>
      <w:proofErr w:type="spellStart"/>
      <w:r w:rsidRPr="00C911A7">
        <w:rPr>
          <w:lang w:val="en-GB"/>
        </w:rPr>
        <w:t>Weiler</w:t>
      </w:r>
      <w:proofErr w:type="spellEnd"/>
      <w:r w:rsidRPr="00C911A7">
        <w:rPr>
          <w:lang w:val="en-GB"/>
        </w:rPr>
        <w:t>, The Transformation of Europe, p. 2425.</w:t>
      </w:r>
    </w:p>
  </w:footnote>
  <w:footnote w:id="78">
    <w:p w14:paraId="06D10D7C" w14:textId="3CC7B2E5" w:rsidR="008C7313" w:rsidRPr="00C911A7" w:rsidRDefault="008C7313" w:rsidP="00453C86">
      <w:pPr>
        <w:pStyle w:val="FN"/>
        <w:rPr>
          <w:lang w:val="en-GB"/>
        </w:rPr>
      </w:pPr>
      <w:r w:rsidRPr="00C911A7">
        <w:rPr>
          <w:rStyle w:val="Funotenzeichen"/>
          <w:lang w:val="en-GB"/>
        </w:rPr>
        <w:footnoteRef/>
      </w:r>
      <w:r w:rsidRPr="00C911A7">
        <w:rPr>
          <w:lang w:val="en-GB"/>
        </w:rPr>
        <w:t xml:space="preserve"> Alter, Who are the “Masters of the Treaty”?: p. 122.</w:t>
      </w:r>
    </w:p>
  </w:footnote>
  <w:footnote w:id="79">
    <w:p w14:paraId="62CA13B8" w14:textId="0D92B58F" w:rsidR="008C7313" w:rsidRPr="00C911A7" w:rsidRDefault="008C7313" w:rsidP="0057250D">
      <w:pPr>
        <w:pStyle w:val="FN"/>
        <w:rPr>
          <w:lang w:val="en-GB"/>
        </w:rPr>
      </w:pPr>
      <w:r w:rsidRPr="00C911A7">
        <w:rPr>
          <w:rStyle w:val="Funotenzeichen"/>
          <w:lang w:val="en-GB"/>
        </w:rPr>
        <w:footnoteRef/>
      </w:r>
      <w:r w:rsidRPr="00C911A7">
        <w:rPr>
          <w:lang w:val="en-GB"/>
        </w:rPr>
        <w:t xml:space="preserve"> </w:t>
      </w:r>
      <w:proofErr w:type="spellStart"/>
      <w:r w:rsidRPr="00C911A7">
        <w:rPr>
          <w:lang w:val="en-GB"/>
        </w:rPr>
        <w:t>Weiler</w:t>
      </w:r>
      <w:proofErr w:type="spellEnd"/>
      <w:r w:rsidRPr="00C911A7">
        <w:rPr>
          <w:lang w:val="en-GB"/>
        </w:rPr>
        <w:t>, The Transformation of Europe  p. 2428.</w:t>
      </w:r>
    </w:p>
  </w:footnote>
  <w:footnote w:id="80">
    <w:p w14:paraId="664C0B78" w14:textId="7FF1873D" w:rsidR="008C7313" w:rsidRPr="00C911A7" w:rsidRDefault="008C7313" w:rsidP="0057250D">
      <w:pPr>
        <w:pStyle w:val="FN"/>
        <w:rPr>
          <w:lang w:val="en-GB"/>
        </w:rPr>
      </w:pPr>
      <w:r w:rsidRPr="00C911A7">
        <w:rPr>
          <w:rStyle w:val="Funotenzeichen"/>
          <w:lang w:val="en-GB"/>
        </w:rPr>
        <w:footnoteRef/>
      </w:r>
      <w:r w:rsidRPr="00C911A7">
        <w:rPr>
          <w:lang w:val="en-GB"/>
        </w:rPr>
        <w:t xml:space="preserve"> Ludlow, Challenging French Leadership, p. 239f.</w:t>
      </w:r>
    </w:p>
  </w:footnote>
  <w:footnote w:id="81">
    <w:p w14:paraId="455540EC" w14:textId="592CB2E8" w:rsidR="008C7313" w:rsidRPr="00C911A7" w:rsidRDefault="008C7313" w:rsidP="0057250D">
      <w:pPr>
        <w:pStyle w:val="FN"/>
        <w:rPr>
          <w:lang w:val="en-GB"/>
        </w:rPr>
      </w:pPr>
      <w:r w:rsidRPr="00C911A7">
        <w:rPr>
          <w:rStyle w:val="Funotenzeichen"/>
          <w:lang w:val="en-GB"/>
        </w:rPr>
        <w:footnoteRef/>
      </w:r>
      <w:r w:rsidRPr="00C911A7">
        <w:rPr>
          <w:lang w:val="en-GB"/>
        </w:rPr>
        <w:t xml:space="preserve"> Alter, Masters of the Treaty, p. 137.</w:t>
      </w:r>
    </w:p>
  </w:footnote>
  <w:footnote w:id="82">
    <w:p w14:paraId="146A760D" w14:textId="3365950A" w:rsidR="008C7313" w:rsidRPr="00C911A7" w:rsidRDefault="008C7313" w:rsidP="0057250D">
      <w:pPr>
        <w:pStyle w:val="FN"/>
        <w:rPr>
          <w:lang w:val="en-GB"/>
        </w:rPr>
      </w:pPr>
      <w:r w:rsidRPr="00C911A7">
        <w:rPr>
          <w:rStyle w:val="Funotenzeichen"/>
          <w:lang w:val="en-GB"/>
        </w:rPr>
        <w:footnoteRef/>
      </w:r>
      <w:r w:rsidRPr="00C911A7">
        <w:rPr>
          <w:lang w:val="en-GB"/>
        </w:rPr>
        <w:t xml:space="preserve"> </w:t>
      </w:r>
      <w:proofErr w:type="spellStart"/>
      <w:r w:rsidRPr="00C911A7">
        <w:rPr>
          <w:lang w:val="en-GB"/>
        </w:rPr>
        <w:t>Weiler</w:t>
      </w:r>
      <w:proofErr w:type="spellEnd"/>
      <w:r w:rsidRPr="00C911A7">
        <w:rPr>
          <w:lang w:val="en-GB"/>
        </w:rPr>
        <w:t>, The Transformation of Europe, p. 2426f.</w:t>
      </w:r>
    </w:p>
  </w:footnote>
  <w:footnote w:id="83">
    <w:p w14:paraId="422A90BB" w14:textId="685AAE30" w:rsidR="008C7313" w:rsidRPr="00CC696C" w:rsidRDefault="008C7313" w:rsidP="0057250D">
      <w:pPr>
        <w:pStyle w:val="FN"/>
      </w:pPr>
      <w:r w:rsidRPr="00C911A7">
        <w:rPr>
          <w:rStyle w:val="Funotenzeichen"/>
          <w:lang w:val="en-GB"/>
        </w:rPr>
        <w:footnoteRef/>
      </w:r>
      <w:r w:rsidRPr="00C911A7">
        <w:rPr>
          <w:lang w:val="en-GB"/>
        </w:rPr>
        <w:t xml:space="preserve"> Conway, Legal Reasoning, p. 115.</w:t>
      </w:r>
    </w:p>
  </w:footnote>
  <w:footnote w:id="84">
    <w:p w14:paraId="64F8866C" w14:textId="6173C250" w:rsidR="008C7313" w:rsidRPr="00C911A7" w:rsidRDefault="008C7313" w:rsidP="0057250D">
      <w:pPr>
        <w:pStyle w:val="FN"/>
        <w:rPr>
          <w:rFonts w:ascii="Times" w:eastAsia="Times New Roman" w:hAnsi="Times" w:cs="Times New Roman"/>
          <w:lang w:val="en-GB"/>
        </w:rPr>
      </w:pPr>
      <w:r w:rsidRPr="00C911A7">
        <w:rPr>
          <w:rStyle w:val="Funotenzeichen"/>
          <w:lang w:val="en-GB"/>
        </w:rPr>
        <w:footnoteRef/>
      </w:r>
      <w:r w:rsidRPr="00C911A7">
        <w:rPr>
          <w:lang w:val="en-GB"/>
        </w:rPr>
        <w:t xml:space="preserve"> </w:t>
      </w:r>
      <w:r w:rsidRPr="00C911A7">
        <w:rPr>
          <w:rFonts w:ascii="Times" w:eastAsia="Times New Roman" w:hAnsi="Times" w:cs="Times New Roman"/>
          <w:lang w:val="en-GB"/>
        </w:rPr>
        <w:t>According to former Prime Minister Mic</w:t>
      </w:r>
      <w:r>
        <w:rPr>
          <w:rFonts w:ascii="Times" w:eastAsia="Times New Roman" w:hAnsi="Times" w:cs="Times New Roman"/>
          <w:lang w:val="en-GB"/>
        </w:rPr>
        <w:t xml:space="preserve">hel </w:t>
      </w:r>
      <w:proofErr w:type="spellStart"/>
      <w:r>
        <w:rPr>
          <w:rFonts w:ascii="Times" w:eastAsia="Times New Roman" w:hAnsi="Times" w:cs="Times New Roman"/>
          <w:lang w:val="en-GB"/>
        </w:rPr>
        <w:t>Debré</w:t>
      </w:r>
      <w:proofErr w:type="spellEnd"/>
      <w:r w:rsidRPr="00C911A7">
        <w:rPr>
          <w:rFonts w:ascii="Times" w:eastAsia="Times New Roman" w:hAnsi="Times" w:cs="Times New Roman"/>
          <w:lang w:val="en-GB"/>
        </w:rPr>
        <w:t>, General de Gaulle indeed did ask for revisions of the Court’s power and competences in 1968; cited in Rasmussen,  Law and Policy in the European Court of Justice, p. 351.</w:t>
      </w:r>
    </w:p>
  </w:footnote>
  <w:footnote w:id="85">
    <w:p w14:paraId="47F0191B" w14:textId="77601CAF" w:rsidR="008C7313" w:rsidRPr="00C911A7" w:rsidRDefault="008C7313">
      <w:pPr>
        <w:pStyle w:val="Funotentext"/>
        <w:rPr>
          <w:sz w:val="20"/>
          <w:szCs w:val="20"/>
          <w:lang w:val="en-GB"/>
        </w:rPr>
      </w:pPr>
      <w:r w:rsidRPr="00C911A7">
        <w:rPr>
          <w:rStyle w:val="Funotenzeichen"/>
          <w:sz w:val="20"/>
          <w:szCs w:val="20"/>
          <w:lang w:val="en-GB"/>
        </w:rPr>
        <w:footnoteRef/>
      </w:r>
      <w:r w:rsidRPr="00C911A7">
        <w:rPr>
          <w:sz w:val="20"/>
          <w:szCs w:val="20"/>
          <w:lang w:val="en-GB"/>
        </w:rPr>
        <w:t xml:space="preserve"> De la Mare/</w:t>
      </w:r>
      <w:proofErr w:type="spellStart"/>
      <w:r w:rsidRPr="00C911A7">
        <w:rPr>
          <w:sz w:val="20"/>
          <w:szCs w:val="20"/>
          <w:lang w:val="en-GB"/>
        </w:rPr>
        <w:t>Donnely</w:t>
      </w:r>
      <w:proofErr w:type="spellEnd"/>
      <w:r w:rsidRPr="00C911A7">
        <w:rPr>
          <w:sz w:val="20"/>
          <w:szCs w:val="20"/>
          <w:lang w:val="en-GB"/>
        </w:rPr>
        <w:t>, Preliminary Rulings, p. 363.</w:t>
      </w:r>
    </w:p>
  </w:footnote>
  <w:footnote w:id="86">
    <w:p w14:paraId="603E92D7" w14:textId="77777777" w:rsidR="008C7313" w:rsidRPr="00C911A7" w:rsidRDefault="008C7313" w:rsidP="00293D38">
      <w:pPr>
        <w:pStyle w:val="Funotentext"/>
        <w:rPr>
          <w:sz w:val="20"/>
          <w:szCs w:val="20"/>
          <w:lang w:val="en-GB"/>
        </w:rPr>
      </w:pPr>
      <w:r w:rsidRPr="00C911A7">
        <w:rPr>
          <w:rStyle w:val="Funotenzeichen"/>
          <w:sz w:val="20"/>
          <w:szCs w:val="20"/>
          <w:lang w:val="en-GB"/>
        </w:rPr>
        <w:footnoteRef/>
      </w:r>
      <w:r w:rsidRPr="00C911A7">
        <w:rPr>
          <w:sz w:val="20"/>
          <w:szCs w:val="20"/>
          <w:lang w:val="en-GB"/>
        </w:rPr>
        <w:t xml:space="preserve"> Chalmers, European Union Law, p. 165-169.</w:t>
      </w:r>
    </w:p>
  </w:footnote>
  <w:footnote w:id="87">
    <w:p w14:paraId="503EEFC9" w14:textId="26957360" w:rsidR="008C7313" w:rsidRPr="00B91358" w:rsidRDefault="008C7313">
      <w:pPr>
        <w:pStyle w:val="Funotentext"/>
        <w:rPr>
          <w:sz w:val="20"/>
          <w:szCs w:val="20"/>
        </w:rPr>
      </w:pPr>
      <w:r w:rsidRPr="00C911A7">
        <w:rPr>
          <w:rStyle w:val="Funotenzeichen"/>
          <w:sz w:val="20"/>
          <w:szCs w:val="20"/>
          <w:lang w:val="en-GB"/>
        </w:rPr>
        <w:footnoteRef/>
      </w:r>
      <w:r w:rsidRPr="00C911A7">
        <w:rPr>
          <w:sz w:val="20"/>
          <w:szCs w:val="20"/>
          <w:lang w:val="en-GB"/>
        </w:rPr>
        <w:t xml:space="preserve"> Chalmers, European Union Law, p. 174.</w:t>
      </w:r>
    </w:p>
  </w:footnote>
  <w:footnote w:id="88">
    <w:p w14:paraId="3AC9AC8A" w14:textId="5FDAD5E0" w:rsidR="008C7313" w:rsidRPr="00C911A7" w:rsidRDefault="008C7313">
      <w:pPr>
        <w:pStyle w:val="Funotentext"/>
        <w:rPr>
          <w:sz w:val="20"/>
          <w:szCs w:val="20"/>
          <w:lang w:val="en-GB"/>
        </w:rPr>
      </w:pPr>
      <w:r w:rsidRPr="00C911A7">
        <w:rPr>
          <w:rStyle w:val="Funotenzeichen"/>
          <w:sz w:val="20"/>
          <w:szCs w:val="20"/>
          <w:lang w:val="en-GB"/>
        </w:rPr>
        <w:footnoteRef/>
      </w:r>
      <w:r w:rsidRPr="00C911A7">
        <w:rPr>
          <w:sz w:val="20"/>
          <w:szCs w:val="20"/>
          <w:lang w:val="en-GB"/>
        </w:rPr>
        <w:t xml:space="preserve"> De la Mare/</w:t>
      </w:r>
      <w:proofErr w:type="spellStart"/>
      <w:r w:rsidRPr="00C911A7">
        <w:rPr>
          <w:sz w:val="20"/>
          <w:szCs w:val="20"/>
          <w:lang w:val="en-GB"/>
        </w:rPr>
        <w:t>Donnely</w:t>
      </w:r>
      <w:proofErr w:type="spellEnd"/>
      <w:r w:rsidRPr="00C911A7">
        <w:rPr>
          <w:sz w:val="20"/>
          <w:szCs w:val="20"/>
          <w:lang w:val="en-GB"/>
        </w:rPr>
        <w:t>, Preliminary Rulings, p. 371.</w:t>
      </w:r>
    </w:p>
  </w:footnote>
  <w:footnote w:id="89">
    <w:p w14:paraId="11830B99" w14:textId="149661A7" w:rsidR="008C7313" w:rsidRPr="00C911A7" w:rsidRDefault="008C7313">
      <w:pPr>
        <w:pStyle w:val="Funotentext"/>
        <w:rPr>
          <w:lang w:val="en-GB"/>
        </w:rPr>
      </w:pPr>
      <w:r w:rsidRPr="00C911A7">
        <w:rPr>
          <w:rStyle w:val="Funotenzeichen"/>
          <w:sz w:val="20"/>
          <w:szCs w:val="20"/>
          <w:lang w:val="en-GB"/>
        </w:rPr>
        <w:footnoteRef/>
      </w:r>
      <w:r w:rsidRPr="00C911A7">
        <w:rPr>
          <w:sz w:val="20"/>
          <w:szCs w:val="20"/>
          <w:lang w:val="en-GB"/>
        </w:rPr>
        <w:t xml:space="preserve"> Cs C-2/06 Willy </w:t>
      </w:r>
      <w:proofErr w:type="spellStart"/>
      <w:r w:rsidRPr="00C911A7">
        <w:rPr>
          <w:sz w:val="20"/>
          <w:szCs w:val="20"/>
          <w:lang w:val="en-GB"/>
        </w:rPr>
        <w:t>Kempter</w:t>
      </w:r>
      <w:proofErr w:type="spellEnd"/>
      <w:r w:rsidRPr="00C911A7">
        <w:rPr>
          <w:sz w:val="20"/>
          <w:szCs w:val="20"/>
          <w:lang w:val="en-GB"/>
        </w:rPr>
        <w:t xml:space="preserve"> KG v </w:t>
      </w:r>
      <w:proofErr w:type="spellStart"/>
      <w:r w:rsidRPr="00C911A7">
        <w:rPr>
          <w:sz w:val="20"/>
          <w:szCs w:val="20"/>
          <w:lang w:val="en-GB"/>
        </w:rPr>
        <w:t>Hauptzollamt</w:t>
      </w:r>
      <w:proofErr w:type="spellEnd"/>
      <w:r w:rsidRPr="00C911A7">
        <w:rPr>
          <w:sz w:val="20"/>
          <w:szCs w:val="20"/>
          <w:lang w:val="en-GB"/>
        </w:rPr>
        <w:t xml:space="preserve"> Hamburg-Joan (2008) ECR I-411, [45].</w:t>
      </w:r>
    </w:p>
  </w:footnote>
  <w:footnote w:id="90">
    <w:p w14:paraId="242FE054" w14:textId="7DF7DC65" w:rsidR="008C7313" w:rsidRPr="00C911A7" w:rsidRDefault="008C7313">
      <w:pPr>
        <w:pStyle w:val="Funotentext"/>
        <w:rPr>
          <w:lang w:val="en-GB"/>
        </w:rPr>
      </w:pPr>
      <w:r w:rsidRPr="00C911A7">
        <w:rPr>
          <w:rStyle w:val="Funotenzeichen"/>
          <w:lang w:val="en-GB"/>
        </w:rPr>
        <w:footnoteRef/>
      </w:r>
      <w:r w:rsidRPr="00C911A7">
        <w:rPr>
          <w:lang w:val="en-GB"/>
        </w:rPr>
        <w:t xml:space="preserve"> </w:t>
      </w:r>
      <w:r w:rsidRPr="00C911A7">
        <w:rPr>
          <w:sz w:val="20"/>
          <w:szCs w:val="20"/>
          <w:lang w:val="en-GB"/>
        </w:rPr>
        <w:t>Mancini, Making of a Constitution of Europe, p. 597.</w:t>
      </w:r>
    </w:p>
  </w:footnote>
  <w:footnote w:id="91">
    <w:p w14:paraId="46C42AE4" w14:textId="7862E789" w:rsidR="008C7313" w:rsidRPr="00C911A7" w:rsidRDefault="008C7313">
      <w:pPr>
        <w:pStyle w:val="Funotentext"/>
        <w:rPr>
          <w:sz w:val="20"/>
          <w:szCs w:val="20"/>
          <w:lang w:val="en-GB"/>
        </w:rPr>
      </w:pPr>
      <w:r w:rsidRPr="00C911A7">
        <w:rPr>
          <w:rStyle w:val="Funotenzeichen"/>
          <w:sz w:val="20"/>
          <w:szCs w:val="20"/>
          <w:lang w:val="en-GB"/>
        </w:rPr>
        <w:footnoteRef/>
      </w:r>
      <w:r w:rsidRPr="00C911A7">
        <w:rPr>
          <w:sz w:val="20"/>
          <w:szCs w:val="20"/>
          <w:lang w:val="en-GB"/>
        </w:rPr>
        <w:t xml:space="preserve"> Chalmers, European Union Law, p. 169.</w:t>
      </w:r>
    </w:p>
  </w:footnote>
  <w:footnote w:id="92">
    <w:p w14:paraId="4771EC92" w14:textId="31837D68" w:rsidR="008C7313" w:rsidRPr="00C911A7" w:rsidRDefault="008C7313">
      <w:pPr>
        <w:pStyle w:val="Funotentext"/>
        <w:rPr>
          <w:sz w:val="20"/>
          <w:szCs w:val="20"/>
          <w:lang w:val="en-GB"/>
        </w:rPr>
      </w:pPr>
      <w:r w:rsidRPr="00C911A7">
        <w:rPr>
          <w:rStyle w:val="Funotenzeichen"/>
          <w:sz w:val="20"/>
          <w:szCs w:val="20"/>
          <w:lang w:val="en-GB"/>
        </w:rPr>
        <w:footnoteRef/>
      </w:r>
      <w:r w:rsidRPr="00C911A7">
        <w:rPr>
          <w:sz w:val="20"/>
          <w:szCs w:val="20"/>
          <w:lang w:val="en-GB"/>
        </w:rPr>
        <w:t xml:space="preserve"> De la Mare/</w:t>
      </w:r>
      <w:proofErr w:type="spellStart"/>
      <w:r w:rsidRPr="00C911A7">
        <w:rPr>
          <w:sz w:val="20"/>
          <w:szCs w:val="20"/>
          <w:lang w:val="en-GB"/>
        </w:rPr>
        <w:t>Donnely</w:t>
      </w:r>
      <w:proofErr w:type="spellEnd"/>
      <w:r w:rsidRPr="00C911A7">
        <w:rPr>
          <w:sz w:val="20"/>
          <w:szCs w:val="20"/>
          <w:lang w:val="en-GB"/>
        </w:rPr>
        <w:t>, Preliminary Rulings, p. 383.</w:t>
      </w:r>
    </w:p>
  </w:footnote>
  <w:footnote w:id="93">
    <w:p w14:paraId="7141FA68" w14:textId="0EB7025F" w:rsidR="008C7313" w:rsidRPr="00C911A7" w:rsidRDefault="008C7313">
      <w:pPr>
        <w:pStyle w:val="Funotentext"/>
        <w:rPr>
          <w:sz w:val="20"/>
          <w:szCs w:val="20"/>
          <w:lang w:val="en-GB"/>
        </w:rPr>
      </w:pPr>
      <w:r w:rsidRPr="00C911A7">
        <w:rPr>
          <w:rStyle w:val="Funotenzeichen"/>
          <w:sz w:val="20"/>
          <w:szCs w:val="20"/>
          <w:lang w:val="en-GB"/>
        </w:rPr>
        <w:footnoteRef/>
      </w:r>
      <w:r w:rsidRPr="00C911A7">
        <w:rPr>
          <w:sz w:val="20"/>
          <w:szCs w:val="20"/>
          <w:lang w:val="en-GB"/>
        </w:rPr>
        <w:t xml:space="preserve"> See </w:t>
      </w:r>
      <w:proofErr w:type="spellStart"/>
      <w:r w:rsidRPr="00C911A7">
        <w:rPr>
          <w:sz w:val="20"/>
          <w:szCs w:val="20"/>
          <w:lang w:val="en-GB"/>
        </w:rPr>
        <w:t>Holzleithner</w:t>
      </w:r>
      <w:proofErr w:type="spellEnd"/>
      <w:r w:rsidRPr="00C911A7">
        <w:rPr>
          <w:sz w:val="20"/>
          <w:szCs w:val="20"/>
          <w:lang w:val="en-GB"/>
        </w:rPr>
        <w:t>/Mayer-</w:t>
      </w:r>
      <w:proofErr w:type="spellStart"/>
      <w:r w:rsidRPr="00C911A7">
        <w:rPr>
          <w:sz w:val="20"/>
          <w:szCs w:val="20"/>
          <w:lang w:val="en-GB"/>
        </w:rPr>
        <w:t>Schönberger</w:t>
      </w:r>
      <w:proofErr w:type="spellEnd"/>
      <w:r w:rsidRPr="00C911A7">
        <w:rPr>
          <w:sz w:val="20"/>
          <w:szCs w:val="20"/>
          <w:lang w:val="en-GB"/>
        </w:rPr>
        <w:t xml:space="preserve">, Das </w:t>
      </w:r>
      <w:proofErr w:type="spellStart"/>
      <w:r w:rsidRPr="00C911A7">
        <w:rPr>
          <w:sz w:val="20"/>
          <w:szCs w:val="20"/>
          <w:lang w:val="en-GB"/>
        </w:rPr>
        <w:t>Zitat</w:t>
      </w:r>
      <w:proofErr w:type="spellEnd"/>
      <w:r w:rsidRPr="00C911A7">
        <w:rPr>
          <w:sz w:val="20"/>
          <w:szCs w:val="20"/>
          <w:lang w:val="en-GB"/>
        </w:rPr>
        <w:t xml:space="preserve"> </w:t>
      </w:r>
      <w:proofErr w:type="spellStart"/>
      <w:r w:rsidRPr="00C911A7">
        <w:rPr>
          <w:sz w:val="20"/>
          <w:szCs w:val="20"/>
          <w:lang w:val="en-GB"/>
        </w:rPr>
        <w:t>als</w:t>
      </w:r>
      <w:proofErr w:type="spellEnd"/>
      <w:r w:rsidRPr="00C911A7">
        <w:rPr>
          <w:sz w:val="20"/>
          <w:szCs w:val="20"/>
          <w:lang w:val="en-GB"/>
        </w:rPr>
        <w:t xml:space="preserve"> </w:t>
      </w:r>
      <w:proofErr w:type="spellStart"/>
      <w:r w:rsidRPr="00C911A7">
        <w:rPr>
          <w:sz w:val="20"/>
          <w:szCs w:val="20"/>
          <w:lang w:val="en-GB"/>
        </w:rPr>
        <w:t>grundloser</w:t>
      </w:r>
      <w:proofErr w:type="spellEnd"/>
      <w:r w:rsidRPr="00C911A7">
        <w:rPr>
          <w:sz w:val="20"/>
          <w:szCs w:val="20"/>
          <w:lang w:val="en-GB"/>
        </w:rPr>
        <w:t xml:space="preserve"> </w:t>
      </w:r>
      <w:proofErr w:type="spellStart"/>
      <w:r w:rsidRPr="00C911A7">
        <w:rPr>
          <w:sz w:val="20"/>
          <w:szCs w:val="20"/>
          <w:lang w:val="en-GB"/>
        </w:rPr>
        <w:t>Grund</w:t>
      </w:r>
      <w:proofErr w:type="spellEnd"/>
      <w:r w:rsidRPr="00C911A7">
        <w:rPr>
          <w:sz w:val="20"/>
          <w:szCs w:val="20"/>
          <w:lang w:val="en-GB"/>
        </w:rPr>
        <w:t xml:space="preserve"> </w:t>
      </w:r>
      <w:proofErr w:type="spellStart"/>
      <w:r w:rsidRPr="00C911A7">
        <w:rPr>
          <w:sz w:val="20"/>
          <w:szCs w:val="20"/>
          <w:lang w:val="en-GB"/>
        </w:rPr>
        <w:t>rechtlicher</w:t>
      </w:r>
      <w:proofErr w:type="spellEnd"/>
      <w:r w:rsidRPr="00C911A7">
        <w:rPr>
          <w:sz w:val="20"/>
          <w:szCs w:val="20"/>
          <w:lang w:val="en-GB"/>
        </w:rPr>
        <w:t xml:space="preserve"> </w:t>
      </w:r>
      <w:proofErr w:type="spellStart"/>
      <w:r w:rsidRPr="00C911A7">
        <w:rPr>
          <w:sz w:val="20"/>
          <w:szCs w:val="20"/>
          <w:lang w:val="en-GB"/>
        </w:rPr>
        <w:t>Legitimität</w:t>
      </w:r>
      <w:proofErr w:type="spellEnd"/>
      <w:r w:rsidRPr="00C911A7">
        <w:rPr>
          <w:sz w:val="20"/>
          <w:szCs w:val="20"/>
          <w:lang w:val="en-GB"/>
        </w:rPr>
        <w:t>, p. 318.</w:t>
      </w:r>
    </w:p>
  </w:footnote>
  <w:footnote w:id="94">
    <w:p w14:paraId="621D1D47" w14:textId="233BF468" w:rsidR="008C7313" w:rsidRPr="00C911A7" w:rsidRDefault="008C7313">
      <w:pPr>
        <w:pStyle w:val="Funotentext"/>
        <w:rPr>
          <w:sz w:val="20"/>
          <w:szCs w:val="20"/>
          <w:lang w:val="en-GB"/>
        </w:rPr>
      </w:pPr>
      <w:r w:rsidRPr="00C911A7">
        <w:rPr>
          <w:rStyle w:val="Funotenzeichen"/>
          <w:sz w:val="20"/>
          <w:szCs w:val="20"/>
          <w:lang w:val="en-GB"/>
        </w:rPr>
        <w:footnoteRef/>
      </w:r>
      <w:r w:rsidRPr="00C911A7">
        <w:rPr>
          <w:sz w:val="20"/>
          <w:szCs w:val="20"/>
          <w:lang w:val="en-GB"/>
        </w:rPr>
        <w:t xml:space="preserve"> Cs 52/76 Benedetti v </w:t>
      </w:r>
      <w:proofErr w:type="spellStart"/>
      <w:r w:rsidRPr="00C911A7">
        <w:rPr>
          <w:sz w:val="20"/>
          <w:szCs w:val="20"/>
          <w:lang w:val="en-GB"/>
        </w:rPr>
        <w:t>Munari</w:t>
      </w:r>
      <w:proofErr w:type="spellEnd"/>
      <w:r w:rsidRPr="00C911A7">
        <w:rPr>
          <w:sz w:val="20"/>
          <w:szCs w:val="20"/>
          <w:lang w:val="en-GB"/>
        </w:rPr>
        <w:t xml:space="preserve"> (1977) ECR 163.</w:t>
      </w:r>
    </w:p>
  </w:footnote>
  <w:footnote w:id="95">
    <w:p w14:paraId="3B823FBA" w14:textId="0CAECD7E" w:rsidR="008C7313" w:rsidRPr="00C911A7" w:rsidRDefault="008C7313">
      <w:pPr>
        <w:pStyle w:val="Funotentext"/>
        <w:rPr>
          <w:sz w:val="20"/>
          <w:szCs w:val="20"/>
          <w:lang w:val="en-GB"/>
        </w:rPr>
      </w:pPr>
      <w:r w:rsidRPr="00C911A7">
        <w:rPr>
          <w:rStyle w:val="Funotenzeichen"/>
          <w:sz w:val="20"/>
          <w:szCs w:val="20"/>
          <w:lang w:val="en-GB"/>
        </w:rPr>
        <w:footnoteRef/>
      </w:r>
      <w:r w:rsidRPr="00C911A7">
        <w:rPr>
          <w:sz w:val="20"/>
          <w:szCs w:val="20"/>
          <w:lang w:val="en-GB"/>
        </w:rPr>
        <w:t xml:space="preserve"> </w:t>
      </w:r>
      <w:proofErr w:type="spellStart"/>
      <w:r w:rsidRPr="00C911A7">
        <w:rPr>
          <w:sz w:val="20"/>
          <w:szCs w:val="20"/>
          <w:lang w:val="en-GB"/>
        </w:rPr>
        <w:t>Nykios</w:t>
      </w:r>
      <w:proofErr w:type="spellEnd"/>
      <w:r w:rsidRPr="00C911A7">
        <w:rPr>
          <w:sz w:val="20"/>
          <w:szCs w:val="20"/>
          <w:lang w:val="en-GB"/>
        </w:rPr>
        <w:t>, The Preliminary Reference Process, p. 410.</w:t>
      </w:r>
    </w:p>
  </w:footnote>
  <w:footnote w:id="96">
    <w:p w14:paraId="39272880" w14:textId="4D91D70D" w:rsidR="008C7313" w:rsidRPr="00B91358" w:rsidRDefault="008C7313">
      <w:pPr>
        <w:pStyle w:val="Funotentext"/>
        <w:rPr>
          <w:sz w:val="20"/>
          <w:szCs w:val="20"/>
        </w:rPr>
      </w:pPr>
      <w:r w:rsidRPr="00C911A7">
        <w:rPr>
          <w:rStyle w:val="Funotenzeichen"/>
          <w:sz w:val="20"/>
          <w:szCs w:val="20"/>
          <w:lang w:val="en-GB"/>
        </w:rPr>
        <w:footnoteRef/>
      </w:r>
      <w:r w:rsidRPr="00C911A7">
        <w:rPr>
          <w:sz w:val="20"/>
          <w:szCs w:val="20"/>
          <w:lang w:val="en-GB"/>
        </w:rPr>
        <w:t xml:space="preserve"> De la Mare/</w:t>
      </w:r>
      <w:proofErr w:type="spellStart"/>
      <w:r w:rsidRPr="00C911A7">
        <w:rPr>
          <w:sz w:val="20"/>
          <w:szCs w:val="20"/>
          <w:lang w:val="en-GB"/>
        </w:rPr>
        <w:t>Donnely</w:t>
      </w:r>
      <w:proofErr w:type="spellEnd"/>
      <w:r w:rsidRPr="00C911A7">
        <w:rPr>
          <w:sz w:val="20"/>
          <w:szCs w:val="20"/>
          <w:lang w:val="en-GB"/>
        </w:rPr>
        <w:t>, Preliminary Rulings, p. 386.</w:t>
      </w:r>
    </w:p>
  </w:footnote>
  <w:footnote w:id="97">
    <w:p w14:paraId="0A35C91A" w14:textId="4C3057E8" w:rsidR="008C7313" w:rsidRPr="00C911A7" w:rsidRDefault="008C7313">
      <w:pPr>
        <w:pStyle w:val="Funotentext"/>
        <w:rPr>
          <w:sz w:val="20"/>
          <w:szCs w:val="20"/>
          <w:lang w:val="en-GB"/>
        </w:rPr>
      </w:pPr>
      <w:r w:rsidRPr="00C911A7">
        <w:rPr>
          <w:rStyle w:val="Funotenzeichen"/>
          <w:sz w:val="20"/>
          <w:szCs w:val="20"/>
          <w:lang w:val="en-GB"/>
        </w:rPr>
        <w:footnoteRef/>
      </w:r>
      <w:r w:rsidRPr="00C911A7">
        <w:rPr>
          <w:sz w:val="20"/>
          <w:szCs w:val="20"/>
          <w:lang w:val="en-GB"/>
        </w:rPr>
        <w:t xml:space="preserve"> Chalmers, European Union Law, p. 175.</w:t>
      </w:r>
    </w:p>
  </w:footnote>
  <w:footnote w:id="98">
    <w:p w14:paraId="21D4E27C" w14:textId="6038249B" w:rsidR="008C7313" w:rsidRPr="00C911A7" w:rsidRDefault="008C7313">
      <w:pPr>
        <w:pStyle w:val="Funotentext"/>
        <w:rPr>
          <w:sz w:val="20"/>
          <w:szCs w:val="20"/>
          <w:lang w:val="en-GB"/>
        </w:rPr>
      </w:pPr>
      <w:r w:rsidRPr="00C911A7">
        <w:rPr>
          <w:rStyle w:val="Funotenzeichen"/>
          <w:sz w:val="20"/>
          <w:szCs w:val="20"/>
          <w:lang w:val="en-GB"/>
        </w:rPr>
        <w:footnoteRef/>
      </w:r>
      <w:r w:rsidRPr="00C911A7">
        <w:rPr>
          <w:sz w:val="20"/>
          <w:szCs w:val="20"/>
          <w:lang w:val="en-GB"/>
        </w:rPr>
        <w:t xml:space="preserve"> Cs 166/73 </w:t>
      </w:r>
      <w:proofErr w:type="spellStart"/>
      <w:r w:rsidRPr="00C911A7">
        <w:rPr>
          <w:sz w:val="20"/>
          <w:szCs w:val="20"/>
          <w:lang w:val="en-GB"/>
        </w:rPr>
        <w:t>Rheinmuehlen-Duesseldorf</w:t>
      </w:r>
      <w:proofErr w:type="spellEnd"/>
      <w:r w:rsidRPr="00C911A7">
        <w:rPr>
          <w:sz w:val="20"/>
          <w:szCs w:val="20"/>
          <w:lang w:val="en-GB"/>
        </w:rPr>
        <w:t xml:space="preserve"> v </w:t>
      </w:r>
      <w:proofErr w:type="spellStart"/>
      <w:r w:rsidRPr="00C911A7">
        <w:rPr>
          <w:sz w:val="20"/>
          <w:szCs w:val="20"/>
          <w:lang w:val="en-GB"/>
        </w:rPr>
        <w:t>Einfuhr</w:t>
      </w:r>
      <w:proofErr w:type="spellEnd"/>
      <w:r w:rsidRPr="00C911A7">
        <w:rPr>
          <w:sz w:val="20"/>
          <w:szCs w:val="20"/>
          <w:lang w:val="en-GB"/>
        </w:rPr>
        <w:t xml:space="preserve">- und </w:t>
      </w:r>
      <w:proofErr w:type="spellStart"/>
      <w:r w:rsidRPr="00C911A7">
        <w:rPr>
          <w:sz w:val="20"/>
          <w:szCs w:val="20"/>
          <w:lang w:val="en-GB"/>
        </w:rPr>
        <w:t>Vorratsstelle</w:t>
      </w:r>
      <w:proofErr w:type="spellEnd"/>
      <w:r w:rsidRPr="00C911A7">
        <w:rPr>
          <w:sz w:val="20"/>
          <w:szCs w:val="20"/>
          <w:lang w:val="en-GB"/>
        </w:rPr>
        <w:t xml:space="preserve"> </w:t>
      </w:r>
      <w:proofErr w:type="spellStart"/>
      <w:r w:rsidRPr="00C911A7">
        <w:rPr>
          <w:sz w:val="20"/>
          <w:szCs w:val="20"/>
          <w:lang w:val="en-GB"/>
        </w:rPr>
        <w:t>fuer</w:t>
      </w:r>
      <w:proofErr w:type="spellEnd"/>
      <w:r w:rsidRPr="00C911A7">
        <w:rPr>
          <w:sz w:val="20"/>
          <w:szCs w:val="20"/>
          <w:lang w:val="en-GB"/>
        </w:rPr>
        <w:t xml:space="preserve"> </w:t>
      </w:r>
      <w:proofErr w:type="spellStart"/>
      <w:r w:rsidRPr="00C911A7">
        <w:rPr>
          <w:sz w:val="20"/>
          <w:szCs w:val="20"/>
          <w:lang w:val="en-GB"/>
        </w:rPr>
        <w:t>Getreide</w:t>
      </w:r>
      <w:proofErr w:type="spellEnd"/>
      <w:r w:rsidRPr="00C911A7">
        <w:rPr>
          <w:sz w:val="20"/>
          <w:szCs w:val="20"/>
          <w:lang w:val="en-GB"/>
        </w:rPr>
        <w:t xml:space="preserve"> und </w:t>
      </w:r>
      <w:proofErr w:type="spellStart"/>
      <w:r w:rsidRPr="00C911A7">
        <w:rPr>
          <w:sz w:val="20"/>
          <w:szCs w:val="20"/>
          <w:lang w:val="en-GB"/>
        </w:rPr>
        <w:t>Futtermittel</w:t>
      </w:r>
      <w:proofErr w:type="spellEnd"/>
      <w:r w:rsidRPr="00C911A7">
        <w:rPr>
          <w:sz w:val="20"/>
          <w:szCs w:val="20"/>
          <w:lang w:val="en-GB"/>
        </w:rPr>
        <w:t xml:space="preserve"> (1974) ECR 33, [2].</w:t>
      </w:r>
    </w:p>
  </w:footnote>
  <w:footnote w:id="99">
    <w:p w14:paraId="003F2795" w14:textId="10EE3497" w:rsidR="008C7313" w:rsidRPr="00C911A7" w:rsidRDefault="008C7313">
      <w:pPr>
        <w:pStyle w:val="Funotentext"/>
        <w:rPr>
          <w:sz w:val="20"/>
          <w:szCs w:val="20"/>
          <w:lang w:val="en-GB"/>
        </w:rPr>
      </w:pPr>
      <w:r w:rsidRPr="00C911A7">
        <w:rPr>
          <w:rStyle w:val="Funotenzeichen"/>
          <w:sz w:val="20"/>
          <w:szCs w:val="20"/>
          <w:lang w:val="en-GB"/>
        </w:rPr>
        <w:footnoteRef/>
      </w:r>
      <w:r w:rsidRPr="00C911A7">
        <w:rPr>
          <w:sz w:val="20"/>
          <w:szCs w:val="20"/>
          <w:lang w:val="en-GB"/>
        </w:rPr>
        <w:t xml:space="preserve"> Cs C-281/09 Commission v Spain (2011), [42].</w:t>
      </w:r>
    </w:p>
  </w:footnote>
  <w:footnote w:id="100">
    <w:p w14:paraId="75497FE0" w14:textId="4FCB382D" w:rsidR="008C7313" w:rsidRPr="00C911A7" w:rsidRDefault="008C7313">
      <w:pPr>
        <w:pStyle w:val="Funotentext"/>
        <w:rPr>
          <w:lang w:val="en-GB"/>
        </w:rPr>
      </w:pPr>
      <w:r w:rsidRPr="00C911A7">
        <w:rPr>
          <w:rStyle w:val="Funotenzeichen"/>
          <w:sz w:val="20"/>
          <w:szCs w:val="20"/>
          <w:lang w:val="en-GB"/>
        </w:rPr>
        <w:footnoteRef/>
      </w:r>
      <w:r w:rsidRPr="00C911A7">
        <w:rPr>
          <w:sz w:val="20"/>
          <w:szCs w:val="20"/>
          <w:lang w:val="en-GB"/>
        </w:rPr>
        <w:t xml:space="preserve"> Chalmers, European Union Law, p. 179.</w:t>
      </w:r>
    </w:p>
  </w:footnote>
  <w:footnote w:id="101">
    <w:p w14:paraId="334C5C72" w14:textId="1854DCB1" w:rsidR="008C7313" w:rsidRPr="00C911A7" w:rsidRDefault="008C7313">
      <w:pPr>
        <w:pStyle w:val="Funotentext"/>
        <w:rPr>
          <w:sz w:val="20"/>
          <w:szCs w:val="20"/>
          <w:lang w:val="en-GB"/>
        </w:rPr>
      </w:pPr>
      <w:r w:rsidRPr="00C911A7">
        <w:rPr>
          <w:rStyle w:val="Funotenzeichen"/>
          <w:sz w:val="20"/>
          <w:szCs w:val="20"/>
          <w:lang w:val="en-GB"/>
        </w:rPr>
        <w:footnoteRef/>
      </w:r>
      <w:r w:rsidRPr="00C911A7">
        <w:rPr>
          <w:sz w:val="20"/>
          <w:szCs w:val="20"/>
          <w:lang w:val="en-GB"/>
        </w:rPr>
        <w:t xml:space="preserve"> Cs 106/77, [18].</w:t>
      </w:r>
    </w:p>
  </w:footnote>
  <w:footnote w:id="102">
    <w:p w14:paraId="50C6AD4C" w14:textId="2675CE24" w:rsidR="008C7313" w:rsidRPr="00C911A7" w:rsidRDefault="008C7313">
      <w:pPr>
        <w:pStyle w:val="Funotentext"/>
        <w:rPr>
          <w:sz w:val="20"/>
          <w:szCs w:val="20"/>
          <w:lang w:val="en-GB"/>
        </w:rPr>
      </w:pPr>
      <w:r w:rsidRPr="00C911A7">
        <w:rPr>
          <w:rStyle w:val="Funotenzeichen"/>
          <w:sz w:val="20"/>
          <w:szCs w:val="20"/>
          <w:lang w:val="en-GB"/>
        </w:rPr>
        <w:footnoteRef/>
      </w:r>
      <w:r w:rsidRPr="00C911A7">
        <w:rPr>
          <w:sz w:val="20"/>
          <w:szCs w:val="20"/>
          <w:lang w:val="en-GB"/>
        </w:rPr>
        <w:t xml:space="preserve"> Cs 11/70, [3].</w:t>
      </w:r>
    </w:p>
  </w:footnote>
  <w:footnote w:id="103">
    <w:p w14:paraId="1F4D4185" w14:textId="1683551E" w:rsidR="008C7313" w:rsidRPr="00C911A7" w:rsidRDefault="008C7313">
      <w:pPr>
        <w:pStyle w:val="Funotentext"/>
        <w:rPr>
          <w:sz w:val="20"/>
          <w:szCs w:val="20"/>
          <w:lang w:val="en-GB"/>
        </w:rPr>
      </w:pPr>
      <w:r w:rsidRPr="00C911A7">
        <w:rPr>
          <w:rStyle w:val="Funotenzeichen"/>
          <w:sz w:val="20"/>
          <w:szCs w:val="20"/>
          <w:lang w:val="en-GB"/>
        </w:rPr>
        <w:footnoteRef/>
      </w:r>
      <w:r w:rsidRPr="00C911A7">
        <w:rPr>
          <w:sz w:val="20"/>
          <w:szCs w:val="20"/>
          <w:lang w:val="en-GB"/>
        </w:rPr>
        <w:t xml:space="preserve"> Conway, Legal Reasoning, p. 3.</w:t>
      </w:r>
    </w:p>
  </w:footnote>
  <w:footnote w:id="104">
    <w:p w14:paraId="4E4DCDF3" w14:textId="78BD9DF2" w:rsidR="008C7313" w:rsidRPr="00C911A7" w:rsidRDefault="008C7313">
      <w:pPr>
        <w:pStyle w:val="Funotentext"/>
        <w:rPr>
          <w:sz w:val="20"/>
          <w:szCs w:val="20"/>
          <w:lang w:val="en-GB"/>
        </w:rPr>
      </w:pPr>
      <w:r w:rsidRPr="00C911A7">
        <w:rPr>
          <w:rStyle w:val="Funotenzeichen"/>
          <w:sz w:val="20"/>
          <w:szCs w:val="20"/>
          <w:lang w:val="en-GB"/>
        </w:rPr>
        <w:footnoteRef/>
      </w:r>
      <w:r w:rsidRPr="00C911A7">
        <w:rPr>
          <w:sz w:val="20"/>
          <w:szCs w:val="20"/>
          <w:lang w:val="en-GB"/>
        </w:rPr>
        <w:t xml:space="preserve"> Conway, Legal Reasoning, p. 26.</w:t>
      </w:r>
    </w:p>
  </w:footnote>
  <w:footnote w:id="105">
    <w:p w14:paraId="3D379EBF" w14:textId="398B8523" w:rsidR="008C7313" w:rsidRPr="00C911A7" w:rsidRDefault="008C7313">
      <w:pPr>
        <w:pStyle w:val="Funotentext"/>
        <w:rPr>
          <w:sz w:val="20"/>
          <w:szCs w:val="20"/>
          <w:lang w:val="en-GB"/>
        </w:rPr>
      </w:pPr>
      <w:r w:rsidRPr="00C911A7">
        <w:rPr>
          <w:rStyle w:val="Funotenzeichen"/>
          <w:sz w:val="20"/>
          <w:szCs w:val="20"/>
          <w:lang w:val="en-GB"/>
        </w:rPr>
        <w:footnoteRef/>
      </w:r>
      <w:r w:rsidRPr="00C911A7">
        <w:rPr>
          <w:sz w:val="20"/>
          <w:szCs w:val="20"/>
          <w:lang w:val="en-GB"/>
        </w:rPr>
        <w:t xml:space="preserve"> Conway, Legal Reasoning, p. 26.</w:t>
      </w:r>
    </w:p>
  </w:footnote>
  <w:footnote w:id="106">
    <w:p w14:paraId="25EEC51C" w14:textId="0AA1DCF1" w:rsidR="008C7313" w:rsidRPr="00C911A7" w:rsidRDefault="008C7313">
      <w:pPr>
        <w:pStyle w:val="Funotentext"/>
        <w:rPr>
          <w:sz w:val="20"/>
          <w:szCs w:val="20"/>
          <w:lang w:val="en-GB"/>
        </w:rPr>
      </w:pPr>
      <w:r w:rsidRPr="00C911A7">
        <w:rPr>
          <w:rStyle w:val="Funotenzeichen"/>
          <w:sz w:val="20"/>
          <w:szCs w:val="20"/>
          <w:lang w:val="en-GB"/>
        </w:rPr>
        <w:footnoteRef/>
      </w:r>
      <w:r w:rsidRPr="00C911A7">
        <w:rPr>
          <w:sz w:val="20"/>
          <w:szCs w:val="20"/>
          <w:lang w:val="en-GB"/>
        </w:rPr>
        <w:t xml:space="preserve"> </w:t>
      </w:r>
      <w:proofErr w:type="spellStart"/>
      <w:r w:rsidRPr="00C911A7">
        <w:rPr>
          <w:sz w:val="20"/>
          <w:szCs w:val="20"/>
          <w:lang w:val="en-GB"/>
        </w:rPr>
        <w:t>Bredimas</w:t>
      </w:r>
      <w:proofErr w:type="spellEnd"/>
      <w:r w:rsidRPr="00C911A7">
        <w:rPr>
          <w:sz w:val="20"/>
          <w:szCs w:val="20"/>
          <w:lang w:val="en-GB"/>
        </w:rPr>
        <w:t>, Methods of Interpretation, p. 179.</w:t>
      </w:r>
    </w:p>
  </w:footnote>
  <w:footnote w:id="107">
    <w:p w14:paraId="401A67D2" w14:textId="025D0BB9" w:rsidR="008C7313" w:rsidRDefault="008C7313">
      <w:pPr>
        <w:pStyle w:val="Funotentext"/>
      </w:pPr>
      <w:r w:rsidRPr="00C911A7">
        <w:rPr>
          <w:rStyle w:val="Funotenzeichen"/>
          <w:sz w:val="20"/>
          <w:szCs w:val="20"/>
          <w:lang w:val="en-GB"/>
        </w:rPr>
        <w:footnoteRef/>
      </w:r>
      <w:r w:rsidRPr="00C911A7">
        <w:rPr>
          <w:sz w:val="20"/>
          <w:szCs w:val="20"/>
          <w:lang w:val="en-GB"/>
        </w:rPr>
        <w:t xml:space="preserve"> Craig/De </w:t>
      </w:r>
      <w:proofErr w:type="spellStart"/>
      <w:r w:rsidRPr="00C911A7">
        <w:rPr>
          <w:sz w:val="20"/>
          <w:szCs w:val="20"/>
          <w:lang w:val="en-GB"/>
        </w:rPr>
        <w:t>Burca</w:t>
      </w:r>
      <w:proofErr w:type="spellEnd"/>
      <w:r w:rsidRPr="00C911A7">
        <w:rPr>
          <w:sz w:val="20"/>
          <w:szCs w:val="20"/>
          <w:lang w:val="en-GB"/>
        </w:rPr>
        <w:t>, EU Law, p. 442.</w:t>
      </w:r>
    </w:p>
  </w:footnote>
  <w:footnote w:id="108">
    <w:p w14:paraId="67E8B6EA" w14:textId="038ABD82" w:rsidR="008C7313" w:rsidRPr="00EA72F0" w:rsidRDefault="008C7313" w:rsidP="00E5619E">
      <w:pPr>
        <w:pStyle w:val="FN"/>
        <w:rPr>
          <w:lang w:val="en-GB"/>
        </w:rPr>
      </w:pPr>
      <w:r w:rsidRPr="00EA72F0">
        <w:rPr>
          <w:rStyle w:val="Funotenzeichen"/>
          <w:lang w:val="en-GB"/>
        </w:rPr>
        <w:footnoteRef/>
      </w:r>
      <w:r w:rsidRPr="00EA72F0">
        <w:rPr>
          <w:lang w:val="en-GB"/>
        </w:rPr>
        <w:t xml:space="preserve"> The primacy of EU law over national cons</w:t>
      </w:r>
      <w:r w:rsidR="00B32DA2">
        <w:rPr>
          <w:lang w:val="en-GB"/>
        </w:rPr>
        <w:t>tituti</w:t>
      </w:r>
      <w:r w:rsidRPr="00EA72F0">
        <w:rPr>
          <w:lang w:val="en-GB"/>
        </w:rPr>
        <w:t xml:space="preserve">onal law is widely accepted in the EU. The extent of the primacy however is still highly contested today. The </w:t>
      </w:r>
      <w:proofErr w:type="spellStart"/>
      <w:r w:rsidRPr="00EA72F0">
        <w:rPr>
          <w:lang w:val="en-GB"/>
        </w:rPr>
        <w:t>Bundesverfassungsgericht</w:t>
      </w:r>
      <w:proofErr w:type="spellEnd"/>
      <w:r w:rsidRPr="00EA72F0">
        <w:rPr>
          <w:lang w:val="en-GB"/>
        </w:rPr>
        <w:t xml:space="preserve"> has developed an </w:t>
      </w:r>
      <w:r>
        <w:rPr>
          <w:lang w:val="en-GB"/>
        </w:rPr>
        <w:t xml:space="preserve">“ultra vires” doctrine, which excludes essential provisions of the </w:t>
      </w:r>
      <w:proofErr w:type="spellStart"/>
      <w:r w:rsidRPr="00EA72F0">
        <w:rPr>
          <w:i/>
          <w:lang w:val="en-GB"/>
        </w:rPr>
        <w:t>Grundgesetz</w:t>
      </w:r>
      <w:proofErr w:type="spellEnd"/>
      <w:r>
        <w:rPr>
          <w:lang w:val="en-GB"/>
        </w:rPr>
        <w:t xml:space="preserve"> from the primacy of EU law. The Czech constitutional court has famously used this doctrine in its so-called “</w:t>
      </w:r>
      <w:r w:rsidRPr="00EA72F0">
        <w:rPr>
          <w:i/>
          <w:lang w:val="en-GB"/>
        </w:rPr>
        <w:t>Slovak Pensions</w:t>
      </w:r>
      <w:r>
        <w:rPr>
          <w:i/>
          <w:lang w:val="en-GB"/>
        </w:rPr>
        <w:t xml:space="preserve"> decision” </w:t>
      </w:r>
      <w:r w:rsidRPr="00E5619E">
        <w:rPr>
          <w:lang w:val="en-GB"/>
        </w:rPr>
        <w:t>(US</w:t>
      </w:r>
      <w:r>
        <w:rPr>
          <w:lang w:val="en-GB"/>
        </w:rPr>
        <w:t xml:space="preserve"> 405/02) to reject a ruling of the CJEU</w:t>
      </w:r>
      <w:r w:rsidR="00B32DA2">
        <w:rPr>
          <w:lang w:val="en-GB"/>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857BA"/>
    <w:multiLevelType w:val="hybridMultilevel"/>
    <w:tmpl w:val="944E10F8"/>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5B6"/>
    <w:rsid w:val="00001638"/>
    <w:rsid w:val="000119C6"/>
    <w:rsid w:val="00022FB4"/>
    <w:rsid w:val="00032367"/>
    <w:rsid w:val="0005534C"/>
    <w:rsid w:val="0005692A"/>
    <w:rsid w:val="0006373E"/>
    <w:rsid w:val="00065339"/>
    <w:rsid w:val="00091654"/>
    <w:rsid w:val="000A1427"/>
    <w:rsid w:val="000D2D5D"/>
    <w:rsid w:val="000D3039"/>
    <w:rsid w:val="000E08CD"/>
    <w:rsid w:val="000E6300"/>
    <w:rsid w:val="00125CF1"/>
    <w:rsid w:val="00155E87"/>
    <w:rsid w:val="001663EF"/>
    <w:rsid w:val="00184D7D"/>
    <w:rsid w:val="00197644"/>
    <w:rsid w:val="001A1CE1"/>
    <w:rsid w:val="001A3DDE"/>
    <w:rsid w:val="001B5F5E"/>
    <w:rsid w:val="001C7EF0"/>
    <w:rsid w:val="001D1B74"/>
    <w:rsid w:val="001D20BD"/>
    <w:rsid w:val="001E22CB"/>
    <w:rsid w:val="001F262C"/>
    <w:rsid w:val="001F51CB"/>
    <w:rsid w:val="00206BE8"/>
    <w:rsid w:val="00212F3D"/>
    <w:rsid w:val="0021609E"/>
    <w:rsid w:val="00223226"/>
    <w:rsid w:val="00230264"/>
    <w:rsid w:val="0023067C"/>
    <w:rsid w:val="002342AB"/>
    <w:rsid w:val="002343EE"/>
    <w:rsid w:val="00250894"/>
    <w:rsid w:val="00253D3D"/>
    <w:rsid w:val="00262D68"/>
    <w:rsid w:val="002826EF"/>
    <w:rsid w:val="00282DF2"/>
    <w:rsid w:val="00293D38"/>
    <w:rsid w:val="002A2350"/>
    <w:rsid w:val="002B50F1"/>
    <w:rsid w:val="003016BA"/>
    <w:rsid w:val="003071B9"/>
    <w:rsid w:val="0032350C"/>
    <w:rsid w:val="00361490"/>
    <w:rsid w:val="00385312"/>
    <w:rsid w:val="00386384"/>
    <w:rsid w:val="003A6AC7"/>
    <w:rsid w:val="003B7923"/>
    <w:rsid w:val="003D220F"/>
    <w:rsid w:val="003E1084"/>
    <w:rsid w:val="003E7973"/>
    <w:rsid w:val="003F35FD"/>
    <w:rsid w:val="004055B9"/>
    <w:rsid w:val="004167DD"/>
    <w:rsid w:val="004202DE"/>
    <w:rsid w:val="0042579C"/>
    <w:rsid w:val="00453C86"/>
    <w:rsid w:val="00455156"/>
    <w:rsid w:val="00455594"/>
    <w:rsid w:val="0049081E"/>
    <w:rsid w:val="004950BD"/>
    <w:rsid w:val="00495502"/>
    <w:rsid w:val="004C4ECB"/>
    <w:rsid w:val="004F140D"/>
    <w:rsid w:val="004F2473"/>
    <w:rsid w:val="0051192E"/>
    <w:rsid w:val="0051303B"/>
    <w:rsid w:val="00527FBA"/>
    <w:rsid w:val="00560BE8"/>
    <w:rsid w:val="0057250D"/>
    <w:rsid w:val="00575FCA"/>
    <w:rsid w:val="00576874"/>
    <w:rsid w:val="005A2212"/>
    <w:rsid w:val="005B09C8"/>
    <w:rsid w:val="005C402F"/>
    <w:rsid w:val="005E07E6"/>
    <w:rsid w:val="005E1FBE"/>
    <w:rsid w:val="005E2580"/>
    <w:rsid w:val="005F42B2"/>
    <w:rsid w:val="006218BC"/>
    <w:rsid w:val="006239FF"/>
    <w:rsid w:val="006512E7"/>
    <w:rsid w:val="00662EE8"/>
    <w:rsid w:val="00695D20"/>
    <w:rsid w:val="006A1834"/>
    <w:rsid w:val="006C6B32"/>
    <w:rsid w:val="006D3C47"/>
    <w:rsid w:val="006D56E6"/>
    <w:rsid w:val="007172A4"/>
    <w:rsid w:val="00732451"/>
    <w:rsid w:val="00736AC1"/>
    <w:rsid w:val="007528CE"/>
    <w:rsid w:val="007630A2"/>
    <w:rsid w:val="00775CDD"/>
    <w:rsid w:val="00780F84"/>
    <w:rsid w:val="007B2FFF"/>
    <w:rsid w:val="007B6F30"/>
    <w:rsid w:val="00804F08"/>
    <w:rsid w:val="00827360"/>
    <w:rsid w:val="00842BBB"/>
    <w:rsid w:val="008B2B24"/>
    <w:rsid w:val="008B6480"/>
    <w:rsid w:val="008C1104"/>
    <w:rsid w:val="008C2356"/>
    <w:rsid w:val="008C7313"/>
    <w:rsid w:val="008D0005"/>
    <w:rsid w:val="008E48F6"/>
    <w:rsid w:val="008F3517"/>
    <w:rsid w:val="008F4A97"/>
    <w:rsid w:val="0090154E"/>
    <w:rsid w:val="0092099E"/>
    <w:rsid w:val="00927AEA"/>
    <w:rsid w:val="009340AE"/>
    <w:rsid w:val="00971C62"/>
    <w:rsid w:val="00982D29"/>
    <w:rsid w:val="009839F6"/>
    <w:rsid w:val="00987D8D"/>
    <w:rsid w:val="009B440D"/>
    <w:rsid w:val="009B507B"/>
    <w:rsid w:val="009C7FC0"/>
    <w:rsid w:val="009E4DA3"/>
    <w:rsid w:val="009E4F4B"/>
    <w:rsid w:val="009E6829"/>
    <w:rsid w:val="00A115F1"/>
    <w:rsid w:val="00A22D30"/>
    <w:rsid w:val="00A5739A"/>
    <w:rsid w:val="00A73423"/>
    <w:rsid w:val="00A82902"/>
    <w:rsid w:val="00A87AE6"/>
    <w:rsid w:val="00AC3F98"/>
    <w:rsid w:val="00AD5517"/>
    <w:rsid w:val="00B0052A"/>
    <w:rsid w:val="00B02532"/>
    <w:rsid w:val="00B15957"/>
    <w:rsid w:val="00B21B1F"/>
    <w:rsid w:val="00B26056"/>
    <w:rsid w:val="00B31354"/>
    <w:rsid w:val="00B32DA2"/>
    <w:rsid w:val="00B360A5"/>
    <w:rsid w:val="00B4697D"/>
    <w:rsid w:val="00B530B1"/>
    <w:rsid w:val="00B91358"/>
    <w:rsid w:val="00B96A1B"/>
    <w:rsid w:val="00BA55B6"/>
    <w:rsid w:val="00BA742E"/>
    <w:rsid w:val="00BB2FAF"/>
    <w:rsid w:val="00BD63E9"/>
    <w:rsid w:val="00BE067D"/>
    <w:rsid w:val="00BE7079"/>
    <w:rsid w:val="00BF34D3"/>
    <w:rsid w:val="00BF5BD6"/>
    <w:rsid w:val="00C00863"/>
    <w:rsid w:val="00C031F0"/>
    <w:rsid w:val="00C05E11"/>
    <w:rsid w:val="00C0676C"/>
    <w:rsid w:val="00C362BB"/>
    <w:rsid w:val="00C51E74"/>
    <w:rsid w:val="00C62064"/>
    <w:rsid w:val="00C669A1"/>
    <w:rsid w:val="00C80A66"/>
    <w:rsid w:val="00C82CA9"/>
    <w:rsid w:val="00C83291"/>
    <w:rsid w:val="00C87FA0"/>
    <w:rsid w:val="00C911A7"/>
    <w:rsid w:val="00CB4D12"/>
    <w:rsid w:val="00CC696C"/>
    <w:rsid w:val="00CD3D33"/>
    <w:rsid w:val="00CE0D4A"/>
    <w:rsid w:val="00CE6A6A"/>
    <w:rsid w:val="00CF02D0"/>
    <w:rsid w:val="00D06250"/>
    <w:rsid w:val="00D10CEE"/>
    <w:rsid w:val="00D14EE5"/>
    <w:rsid w:val="00D352FC"/>
    <w:rsid w:val="00D62485"/>
    <w:rsid w:val="00D729EB"/>
    <w:rsid w:val="00D80F82"/>
    <w:rsid w:val="00D837D0"/>
    <w:rsid w:val="00D93D0B"/>
    <w:rsid w:val="00DB44A2"/>
    <w:rsid w:val="00DC34FD"/>
    <w:rsid w:val="00DD5072"/>
    <w:rsid w:val="00DD7F20"/>
    <w:rsid w:val="00DE7255"/>
    <w:rsid w:val="00DF68B1"/>
    <w:rsid w:val="00E0186C"/>
    <w:rsid w:val="00E12D99"/>
    <w:rsid w:val="00E27A22"/>
    <w:rsid w:val="00E34904"/>
    <w:rsid w:val="00E423A6"/>
    <w:rsid w:val="00E519DA"/>
    <w:rsid w:val="00E5619E"/>
    <w:rsid w:val="00E564EA"/>
    <w:rsid w:val="00E6141F"/>
    <w:rsid w:val="00E7376E"/>
    <w:rsid w:val="00EA72F0"/>
    <w:rsid w:val="00EB17C1"/>
    <w:rsid w:val="00EF0638"/>
    <w:rsid w:val="00EF3B60"/>
    <w:rsid w:val="00F043CD"/>
    <w:rsid w:val="00F10F3F"/>
    <w:rsid w:val="00F21E2E"/>
    <w:rsid w:val="00F33324"/>
    <w:rsid w:val="00F4104A"/>
    <w:rsid w:val="00F42024"/>
    <w:rsid w:val="00F47670"/>
    <w:rsid w:val="00F81760"/>
    <w:rsid w:val="00F87EBF"/>
    <w:rsid w:val="00F90263"/>
    <w:rsid w:val="00F90797"/>
    <w:rsid w:val="00F9521C"/>
    <w:rsid w:val="00FD49AD"/>
    <w:rsid w:val="00FE469B"/>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FC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423A6"/>
  </w:style>
  <w:style w:type="paragraph" w:styleId="berschrift1">
    <w:name w:val="heading 1"/>
    <w:basedOn w:val="Standard"/>
    <w:next w:val="Standard"/>
    <w:link w:val="berschrift1Zeichen"/>
    <w:uiPriority w:val="9"/>
    <w:qFormat/>
    <w:rsid w:val="0006533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eichen"/>
    <w:uiPriority w:val="9"/>
    <w:unhideWhenUsed/>
    <w:qFormat/>
    <w:rsid w:val="001F26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eichen"/>
    <w:uiPriority w:val="9"/>
    <w:unhideWhenUsed/>
    <w:qFormat/>
    <w:rsid w:val="00B530B1"/>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eichen"/>
    <w:uiPriority w:val="99"/>
    <w:unhideWhenUsed/>
    <w:rsid w:val="00BA55B6"/>
  </w:style>
  <w:style w:type="character" w:customStyle="1" w:styleId="FunotentextZeichen">
    <w:name w:val="Fußnotentext Zeichen"/>
    <w:basedOn w:val="Absatzstandardschriftart"/>
    <w:link w:val="Funotentext"/>
    <w:uiPriority w:val="99"/>
    <w:rsid w:val="00BA55B6"/>
  </w:style>
  <w:style w:type="character" w:styleId="Funotenzeichen">
    <w:name w:val="footnote reference"/>
    <w:basedOn w:val="Absatzstandardschriftart"/>
    <w:uiPriority w:val="99"/>
    <w:unhideWhenUsed/>
    <w:rsid w:val="00BA55B6"/>
    <w:rPr>
      <w:vertAlign w:val="superscript"/>
    </w:rPr>
  </w:style>
  <w:style w:type="character" w:styleId="Herausstellen">
    <w:name w:val="Emphasis"/>
    <w:basedOn w:val="Absatzstandardschriftart"/>
    <w:uiPriority w:val="20"/>
    <w:qFormat/>
    <w:rsid w:val="009E6829"/>
    <w:rPr>
      <w:i/>
      <w:iCs/>
    </w:rPr>
  </w:style>
  <w:style w:type="character" w:customStyle="1" w:styleId="hi">
    <w:name w:val="hi"/>
    <w:basedOn w:val="Absatzstandardschriftart"/>
    <w:rsid w:val="00455156"/>
  </w:style>
  <w:style w:type="paragraph" w:styleId="Fuzeile">
    <w:name w:val="footer"/>
    <w:basedOn w:val="Standard"/>
    <w:link w:val="FuzeileZeichen"/>
    <w:uiPriority w:val="99"/>
    <w:unhideWhenUsed/>
    <w:rsid w:val="003F35FD"/>
    <w:pPr>
      <w:tabs>
        <w:tab w:val="center" w:pos="4536"/>
        <w:tab w:val="right" w:pos="9072"/>
      </w:tabs>
    </w:pPr>
  </w:style>
  <w:style w:type="character" w:customStyle="1" w:styleId="FuzeileZeichen">
    <w:name w:val="Fußzeile Zeichen"/>
    <w:basedOn w:val="Absatzstandardschriftart"/>
    <w:link w:val="Fuzeile"/>
    <w:uiPriority w:val="99"/>
    <w:rsid w:val="003F35FD"/>
  </w:style>
  <w:style w:type="character" w:styleId="Seitenzahl">
    <w:name w:val="page number"/>
    <w:basedOn w:val="Absatzstandardschriftart"/>
    <w:uiPriority w:val="99"/>
    <w:semiHidden/>
    <w:unhideWhenUsed/>
    <w:rsid w:val="003F35FD"/>
  </w:style>
  <w:style w:type="character" w:customStyle="1" w:styleId="berschrift1Zeichen">
    <w:name w:val="Überschrift 1 Zeichen"/>
    <w:basedOn w:val="Absatzstandardschriftart"/>
    <w:link w:val="berschrift1"/>
    <w:uiPriority w:val="9"/>
    <w:rsid w:val="00065339"/>
    <w:rPr>
      <w:rFonts w:asciiTheme="majorHAnsi" w:eastAsiaTheme="majorEastAsia" w:hAnsiTheme="majorHAnsi" w:cstheme="majorBidi"/>
      <w:b/>
      <w:bCs/>
      <w:color w:val="345A8A" w:themeColor="accent1" w:themeShade="B5"/>
      <w:sz w:val="32"/>
      <w:szCs w:val="32"/>
    </w:rPr>
  </w:style>
  <w:style w:type="paragraph" w:styleId="Inhaltsverzeichnisberschrift">
    <w:name w:val="TOC Heading"/>
    <w:basedOn w:val="berschrift1"/>
    <w:next w:val="Standard"/>
    <w:uiPriority w:val="39"/>
    <w:unhideWhenUsed/>
    <w:qFormat/>
    <w:rsid w:val="00065339"/>
    <w:pPr>
      <w:spacing w:line="276" w:lineRule="auto"/>
      <w:outlineLvl w:val="9"/>
    </w:pPr>
    <w:rPr>
      <w:color w:val="365F91" w:themeColor="accent1" w:themeShade="BF"/>
      <w:sz w:val="28"/>
      <w:szCs w:val="28"/>
      <w:lang w:val="de-AT"/>
    </w:rPr>
  </w:style>
  <w:style w:type="paragraph" w:styleId="Sprechblasentext">
    <w:name w:val="Balloon Text"/>
    <w:basedOn w:val="Standard"/>
    <w:link w:val="SprechblasentextZeichen"/>
    <w:uiPriority w:val="99"/>
    <w:semiHidden/>
    <w:unhideWhenUsed/>
    <w:rsid w:val="00065339"/>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065339"/>
    <w:rPr>
      <w:rFonts w:ascii="Lucida Grande" w:hAnsi="Lucida Grande" w:cs="Lucida Grande"/>
      <w:sz w:val="18"/>
      <w:szCs w:val="18"/>
    </w:rPr>
  </w:style>
  <w:style w:type="paragraph" w:styleId="Verzeichnis1">
    <w:name w:val="toc 1"/>
    <w:basedOn w:val="Standard"/>
    <w:next w:val="Standard"/>
    <w:autoRedefine/>
    <w:uiPriority w:val="39"/>
    <w:unhideWhenUsed/>
    <w:rsid w:val="00065339"/>
    <w:pPr>
      <w:spacing w:before="120"/>
    </w:pPr>
    <w:rPr>
      <w:rFonts w:asciiTheme="minorHAnsi" w:hAnsiTheme="minorHAnsi"/>
      <w:b/>
      <w:sz w:val="22"/>
      <w:szCs w:val="22"/>
    </w:rPr>
  </w:style>
  <w:style w:type="paragraph" w:styleId="Verzeichnis2">
    <w:name w:val="toc 2"/>
    <w:basedOn w:val="Standard"/>
    <w:next w:val="Standard"/>
    <w:autoRedefine/>
    <w:uiPriority w:val="39"/>
    <w:unhideWhenUsed/>
    <w:rsid w:val="00065339"/>
    <w:pPr>
      <w:ind w:left="240"/>
    </w:pPr>
    <w:rPr>
      <w:rFonts w:asciiTheme="minorHAnsi" w:hAnsiTheme="minorHAnsi"/>
      <w:i/>
      <w:sz w:val="22"/>
      <w:szCs w:val="22"/>
    </w:rPr>
  </w:style>
  <w:style w:type="paragraph" w:styleId="Verzeichnis3">
    <w:name w:val="toc 3"/>
    <w:basedOn w:val="Standard"/>
    <w:next w:val="Standard"/>
    <w:autoRedefine/>
    <w:uiPriority w:val="39"/>
    <w:unhideWhenUsed/>
    <w:rsid w:val="00065339"/>
    <w:pPr>
      <w:ind w:left="480"/>
    </w:pPr>
    <w:rPr>
      <w:rFonts w:asciiTheme="minorHAnsi" w:hAnsiTheme="minorHAnsi"/>
      <w:sz w:val="22"/>
      <w:szCs w:val="22"/>
    </w:rPr>
  </w:style>
  <w:style w:type="paragraph" w:styleId="Verzeichnis4">
    <w:name w:val="toc 4"/>
    <w:basedOn w:val="Standard"/>
    <w:next w:val="Standard"/>
    <w:autoRedefine/>
    <w:uiPriority w:val="39"/>
    <w:semiHidden/>
    <w:unhideWhenUsed/>
    <w:rsid w:val="00065339"/>
    <w:pPr>
      <w:ind w:left="720"/>
    </w:pPr>
    <w:rPr>
      <w:rFonts w:asciiTheme="minorHAnsi" w:hAnsiTheme="minorHAnsi"/>
      <w:sz w:val="20"/>
      <w:szCs w:val="20"/>
    </w:rPr>
  </w:style>
  <w:style w:type="paragraph" w:styleId="Verzeichnis5">
    <w:name w:val="toc 5"/>
    <w:basedOn w:val="Standard"/>
    <w:next w:val="Standard"/>
    <w:autoRedefine/>
    <w:uiPriority w:val="39"/>
    <w:semiHidden/>
    <w:unhideWhenUsed/>
    <w:rsid w:val="00065339"/>
    <w:pPr>
      <w:ind w:left="960"/>
    </w:pPr>
    <w:rPr>
      <w:rFonts w:asciiTheme="minorHAnsi" w:hAnsiTheme="minorHAnsi"/>
      <w:sz w:val="20"/>
      <w:szCs w:val="20"/>
    </w:rPr>
  </w:style>
  <w:style w:type="paragraph" w:styleId="Verzeichnis6">
    <w:name w:val="toc 6"/>
    <w:basedOn w:val="Standard"/>
    <w:next w:val="Standard"/>
    <w:autoRedefine/>
    <w:uiPriority w:val="39"/>
    <w:semiHidden/>
    <w:unhideWhenUsed/>
    <w:rsid w:val="00065339"/>
    <w:pPr>
      <w:ind w:left="1200"/>
    </w:pPr>
    <w:rPr>
      <w:rFonts w:asciiTheme="minorHAnsi" w:hAnsiTheme="minorHAnsi"/>
      <w:sz w:val="20"/>
      <w:szCs w:val="20"/>
    </w:rPr>
  </w:style>
  <w:style w:type="paragraph" w:styleId="Verzeichnis7">
    <w:name w:val="toc 7"/>
    <w:basedOn w:val="Standard"/>
    <w:next w:val="Standard"/>
    <w:autoRedefine/>
    <w:uiPriority w:val="39"/>
    <w:semiHidden/>
    <w:unhideWhenUsed/>
    <w:rsid w:val="00065339"/>
    <w:pPr>
      <w:ind w:left="1440"/>
    </w:pPr>
    <w:rPr>
      <w:rFonts w:asciiTheme="minorHAnsi" w:hAnsiTheme="minorHAnsi"/>
      <w:sz w:val="20"/>
      <w:szCs w:val="20"/>
    </w:rPr>
  </w:style>
  <w:style w:type="paragraph" w:styleId="Verzeichnis8">
    <w:name w:val="toc 8"/>
    <w:basedOn w:val="Standard"/>
    <w:next w:val="Standard"/>
    <w:autoRedefine/>
    <w:uiPriority w:val="39"/>
    <w:semiHidden/>
    <w:unhideWhenUsed/>
    <w:rsid w:val="00065339"/>
    <w:pPr>
      <w:ind w:left="1680"/>
    </w:pPr>
    <w:rPr>
      <w:rFonts w:asciiTheme="minorHAnsi" w:hAnsiTheme="minorHAnsi"/>
      <w:sz w:val="20"/>
      <w:szCs w:val="20"/>
    </w:rPr>
  </w:style>
  <w:style w:type="paragraph" w:styleId="Verzeichnis9">
    <w:name w:val="toc 9"/>
    <w:basedOn w:val="Standard"/>
    <w:next w:val="Standard"/>
    <w:autoRedefine/>
    <w:uiPriority w:val="39"/>
    <w:semiHidden/>
    <w:unhideWhenUsed/>
    <w:rsid w:val="00065339"/>
    <w:pPr>
      <w:ind w:left="1920"/>
    </w:pPr>
    <w:rPr>
      <w:rFonts w:asciiTheme="minorHAnsi" w:hAnsiTheme="minorHAnsi"/>
      <w:sz w:val="20"/>
      <w:szCs w:val="20"/>
    </w:rPr>
  </w:style>
  <w:style w:type="character" w:customStyle="1" w:styleId="berschrift2Zeichen">
    <w:name w:val="Überschrift 2 Zeichen"/>
    <w:basedOn w:val="Absatzstandardschriftart"/>
    <w:link w:val="berschrift2"/>
    <w:uiPriority w:val="9"/>
    <w:rsid w:val="001F262C"/>
    <w:rPr>
      <w:rFonts w:asciiTheme="majorHAnsi" w:eastAsiaTheme="majorEastAsia" w:hAnsiTheme="majorHAnsi" w:cstheme="majorBidi"/>
      <w:b/>
      <w:bCs/>
      <w:color w:val="4F81BD" w:themeColor="accent1"/>
      <w:sz w:val="26"/>
      <w:szCs w:val="26"/>
    </w:rPr>
  </w:style>
  <w:style w:type="character" w:customStyle="1" w:styleId="berschrift3Zeichen">
    <w:name w:val="Überschrift 3 Zeichen"/>
    <w:basedOn w:val="Absatzstandardschriftart"/>
    <w:link w:val="berschrift3"/>
    <w:uiPriority w:val="9"/>
    <w:rsid w:val="00B530B1"/>
    <w:rPr>
      <w:rFonts w:asciiTheme="majorHAnsi" w:eastAsiaTheme="majorEastAsia" w:hAnsiTheme="majorHAnsi" w:cstheme="majorBidi"/>
      <w:b/>
      <w:bCs/>
      <w:color w:val="4F81BD" w:themeColor="accent1"/>
    </w:rPr>
  </w:style>
  <w:style w:type="paragraph" w:styleId="Kopfzeile">
    <w:name w:val="header"/>
    <w:basedOn w:val="Standard"/>
    <w:link w:val="KopfzeileZeichen"/>
    <w:uiPriority w:val="99"/>
    <w:unhideWhenUsed/>
    <w:rsid w:val="00B530B1"/>
    <w:pPr>
      <w:tabs>
        <w:tab w:val="center" w:pos="4536"/>
        <w:tab w:val="right" w:pos="9072"/>
      </w:tabs>
    </w:pPr>
  </w:style>
  <w:style w:type="character" w:customStyle="1" w:styleId="KopfzeileZeichen">
    <w:name w:val="Kopfzeile Zeichen"/>
    <w:basedOn w:val="Absatzstandardschriftart"/>
    <w:link w:val="Kopfzeile"/>
    <w:uiPriority w:val="99"/>
    <w:rsid w:val="00B530B1"/>
  </w:style>
  <w:style w:type="paragraph" w:customStyle="1" w:styleId="FN">
    <w:name w:val="FN"/>
    <w:basedOn w:val="Funotentext"/>
    <w:qFormat/>
    <w:rsid w:val="00F21E2E"/>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423A6"/>
  </w:style>
  <w:style w:type="paragraph" w:styleId="berschrift1">
    <w:name w:val="heading 1"/>
    <w:basedOn w:val="Standard"/>
    <w:next w:val="Standard"/>
    <w:link w:val="berschrift1Zeichen"/>
    <w:uiPriority w:val="9"/>
    <w:qFormat/>
    <w:rsid w:val="0006533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eichen"/>
    <w:uiPriority w:val="9"/>
    <w:unhideWhenUsed/>
    <w:qFormat/>
    <w:rsid w:val="001F26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eichen"/>
    <w:uiPriority w:val="9"/>
    <w:unhideWhenUsed/>
    <w:qFormat/>
    <w:rsid w:val="00B530B1"/>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eichen"/>
    <w:uiPriority w:val="99"/>
    <w:unhideWhenUsed/>
    <w:rsid w:val="00BA55B6"/>
  </w:style>
  <w:style w:type="character" w:customStyle="1" w:styleId="FunotentextZeichen">
    <w:name w:val="Fußnotentext Zeichen"/>
    <w:basedOn w:val="Absatzstandardschriftart"/>
    <w:link w:val="Funotentext"/>
    <w:uiPriority w:val="99"/>
    <w:rsid w:val="00BA55B6"/>
  </w:style>
  <w:style w:type="character" w:styleId="Funotenzeichen">
    <w:name w:val="footnote reference"/>
    <w:basedOn w:val="Absatzstandardschriftart"/>
    <w:uiPriority w:val="99"/>
    <w:unhideWhenUsed/>
    <w:rsid w:val="00BA55B6"/>
    <w:rPr>
      <w:vertAlign w:val="superscript"/>
    </w:rPr>
  </w:style>
  <w:style w:type="character" w:styleId="Herausstellen">
    <w:name w:val="Emphasis"/>
    <w:basedOn w:val="Absatzstandardschriftart"/>
    <w:uiPriority w:val="20"/>
    <w:qFormat/>
    <w:rsid w:val="009E6829"/>
    <w:rPr>
      <w:i/>
      <w:iCs/>
    </w:rPr>
  </w:style>
  <w:style w:type="character" w:customStyle="1" w:styleId="hi">
    <w:name w:val="hi"/>
    <w:basedOn w:val="Absatzstandardschriftart"/>
    <w:rsid w:val="00455156"/>
  </w:style>
  <w:style w:type="paragraph" w:styleId="Fuzeile">
    <w:name w:val="footer"/>
    <w:basedOn w:val="Standard"/>
    <w:link w:val="FuzeileZeichen"/>
    <w:uiPriority w:val="99"/>
    <w:unhideWhenUsed/>
    <w:rsid w:val="003F35FD"/>
    <w:pPr>
      <w:tabs>
        <w:tab w:val="center" w:pos="4536"/>
        <w:tab w:val="right" w:pos="9072"/>
      </w:tabs>
    </w:pPr>
  </w:style>
  <w:style w:type="character" w:customStyle="1" w:styleId="FuzeileZeichen">
    <w:name w:val="Fußzeile Zeichen"/>
    <w:basedOn w:val="Absatzstandardschriftart"/>
    <w:link w:val="Fuzeile"/>
    <w:uiPriority w:val="99"/>
    <w:rsid w:val="003F35FD"/>
  </w:style>
  <w:style w:type="character" w:styleId="Seitenzahl">
    <w:name w:val="page number"/>
    <w:basedOn w:val="Absatzstandardschriftart"/>
    <w:uiPriority w:val="99"/>
    <w:semiHidden/>
    <w:unhideWhenUsed/>
    <w:rsid w:val="003F35FD"/>
  </w:style>
  <w:style w:type="character" w:customStyle="1" w:styleId="berschrift1Zeichen">
    <w:name w:val="Überschrift 1 Zeichen"/>
    <w:basedOn w:val="Absatzstandardschriftart"/>
    <w:link w:val="berschrift1"/>
    <w:uiPriority w:val="9"/>
    <w:rsid w:val="00065339"/>
    <w:rPr>
      <w:rFonts w:asciiTheme="majorHAnsi" w:eastAsiaTheme="majorEastAsia" w:hAnsiTheme="majorHAnsi" w:cstheme="majorBidi"/>
      <w:b/>
      <w:bCs/>
      <w:color w:val="345A8A" w:themeColor="accent1" w:themeShade="B5"/>
      <w:sz w:val="32"/>
      <w:szCs w:val="32"/>
    </w:rPr>
  </w:style>
  <w:style w:type="paragraph" w:styleId="Inhaltsverzeichnisberschrift">
    <w:name w:val="TOC Heading"/>
    <w:basedOn w:val="berschrift1"/>
    <w:next w:val="Standard"/>
    <w:uiPriority w:val="39"/>
    <w:unhideWhenUsed/>
    <w:qFormat/>
    <w:rsid w:val="00065339"/>
    <w:pPr>
      <w:spacing w:line="276" w:lineRule="auto"/>
      <w:outlineLvl w:val="9"/>
    </w:pPr>
    <w:rPr>
      <w:color w:val="365F91" w:themeColor="accent1" w:themeShade="BF"/>
      <w:sz w:val="28"/>
      <w:szCs w:val="28"/>
      <w:lang w:val="de-AT"/>
    </w:rPr>
  </w:style>
  <w:style w:type="paragraph" w:styleId="Sprechblasentext">
    <w:name w:val="Balloon Text"/>
    <w:basedOn w:val="Standard"/>
    <w:link w:val="SprechblasentextZeichen"/>
    <w:uiPriority w:val="99"/>
    <w:semiHidden/>
    <w:unhideWhenUsed/>
    <w:rsid w:val="00065339"/>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065339"/>
    <w:rPr>
      <w:rFonts w:ascii="Lucida Grande" w:hAnsi="Lucida Grande" w:cs="Lucida Grande"/>
      <w:sz w:val="18"/>
      <w:szCs w:val="18"/>
    </w:rPr>
  </w:style>
  <w:style w:type="paragraph" w:styleId="Verzeichnis1">
    <w:name w:val="toc 1"/>
    <w:basedOn w:val="Standard"/>
    <w:next w:val="Standard"/>
    <w:autoRedefine/>
    <w:uiPriority w:val="39"/>
    <w:unhideWhenUsed/>
    <w:rsid w:val="00065339"/>
    <w:pPr>
      <w:spacing w:before="120"/>
    </w:pPr>
    <w:rPr>
      <w:rFonts w:asciiTheme="minorHAnsi" w:hAnsiTheme="minorHAnsi"/>
      <w:b/>
      <w:sz w:val="22"/>
      <w:szCs w:val="22"/>
    </w:rPr>
  </w:style>
  <w:style w:type="paragraph" w:styleId="Verzeichnis2">
    <w:name w:val="toc 2"/>
    <w:basedOn w:val="Standard"/>
    <w:next w:val="Standard"/>
    <w:autoRedefine/>
    <w:uiPriority w:val="39"/>
    <w:unhideWhenUsed/>
    <w:rsid w:val="00065339"/>
    <w:pPr>
      <w:ind w:left="240"/>
    </w:pPr>
    <w:rPr>
      <w:rFonts w:asciiTheme="minorHAnsi" w:hAnsiTheme="minorHAnsi"/>
      <w:i/>
      <w:sz w:val="22"/>
      <w:szCs w:val="22"/>
    </w:rPr>
  </w:style>
  <w:style w:type="paragraph" w:styleId="Verzeichnis3">
    <w:name w:val="toc 3"/>
    <w:basedOn w:val="Standard"/>
    <w:next w:val="Standard"/>
    <w:autoRedefine/>
    <w:uiPriority w:val="39"/>
    <w:unhideWhenUsed/>
    <w:rsid w:val="00065339"/>
    <w:pPr>
      <w:ind w:left="480"/>
    </w:pPr>
    <w:rPr>
      <w:rFonts w:asciiTheme="minorHAnsi" w:hAnsiTheme="minorHAnsi"/>
      <w:sz w:val="22"/>
      <w:szCs w:val="22"/>
    </w:rPr>
  </w:style>
  <w:style w:type="paragraph" w:styleId="Verzeichnis4">
    <w:name w:val="toc 4"/>
    <w:basedOn w:val="Standard"/>
    <w:next w:val="Standard"/>
    <w:autoRedefine/>
    <w:uiPriority w:val="39"/>
    <w:semiHidden/>
    <w:unhideWhenUsed/>
    <w:rsid w:val="00065339"/>
    <w:pPr>
      <w:ind w:left="720"/>
    </w:pPr>
    <w:rPr>
      <w:rFonts w:asciiTheme="minorHAnsi" w:hAnsiTheme="minorHAnsi"/>
      <w:sz w:val="20"/>
      <w:szCs w:val="20"/>
    </w:rPr>
  </w:style>
  <w:style w:type="paragraph" w:styleId="Verzeichnis5">
    <w:name w:val="toc 5"/>
    <w:basedOn w:val="Standard"/>
    <w:next w:val="Standard"/>
    <w:autoRedefine/>
    <w:uiPriority w:val="39"/>
    <w:semiHidden/>
    <w:unhideWhenUsed/>
    <w:rsid w:val="00065339"/>
    <w:pPr>
      <w:ind w:left="960"/>
    </w:pPr>
    <w:rPr>
      <w:rFonts w:asciiTheme="minorHAnsi" w:hAnsiTheme="minorHAnsi"/>
      <w:sz w:val="20"/>
      <w:szCs w:val="20"/>
    </w:rPr>
  </w:style>
  <w:style w:type="paragraph" w:styleId="Verzeichnis6">
    <w:name w:val="toc 6"/>
    <w:basedOn w:val="Standard"/>
    <w:next w:val="Standard"/>
    <w:autoRedefine/>
    <w:uiPriority w:val="39"/>
    <w:semiHidden/>
    <w:unhideWhenUsed/>
    <w:rsid w:val="00065339"/>
    <w:pPr>
      <w:ind w:left="1200"/>
    </w:pPr>
    <w:rPr>
      <w:rFonts w:asciiTheme="minorHAnsi" w:hAnsiTheme="minorHAnsi"/>
      <w:sz w:val="20"/>
      <w:szCs w:val="20"/>
    </w:rPr>
  </w:style>
  <w:style w:type="paragraph" w:styleId="Verzeichnis7">
    <w:name w:val="toc 7"/>
    <w:basedOn w:val="Standard"/>
    <w:next w:val="Standard"/>
    <w:autoRedefine/>
    <w:uiPriority w:val="39"/>
    <w:semiHidden/>
    <w:unhideWhenUsed/>
    <w:rsid w:val="00065339"/>
    <w:pPr>
      <w:ind w:left="1440"/>
    </w:pPr>
    <w:rPr>
      <w:rFonts w:asciiTheme="minorHAnsi" w:hAnsiTheme="minorHAnsi"/>
      <w:sz w:val="20"/>
      <w:szCs w:val="20"/>
    </w:rPr>
  </w:style>
  <w:style w:type="paragraph" w:styleId="Verzeichnis8">
    <w:name w:val="toc 8"/>
    <w:basedOn w:val="Standard"/>
    <w:next w:val="Standard"/>
    <w:autoRedefine/>
    <w:uiPriority w:val="39"/>
    <w:semiHidden/>
    <w:unhideWhenUsed/>
    <w:rsid w:val="00065339"/>
    <w:pPr>
      <w:ind w:left="1680"/>
    </w:pPr>
    <w:rPr>
      <w:rFonts w:asciiTheme="minorHAnsi" w:hAnsiTheme="minorHAnsi"/>
      <w:sz w:val="20"/>
      <w:szCs w:val="20"/>
    </w:rPr>
  </w:style>
  <w:style w:type="paragraph" w:styleId="Verzeichnis9">
    <w:name w:val="toc 9"/>
    <w:basedOn w:val="Standard"/>
    <w:next w:val="Standard"/>
    <w:autoRedefine/>
    <w:uiPriority w:val="39"/>
    <w:semiHidden/>
    <w:unhideWhenUsed/>
    <w:rsid w:val="00065339"/>
    <w:pPr>
      <w:ind w:left="1920"/>
    </w:pPr>
    <w:rPr>
      <w:rFonts w:asciiTheme="minorHAnsi" w:hAnsiTheme="minorHAnsi"/>
      <w:sz w:val="20"/>
      <w:szCs w:val="20"/>
    </w:rPr>
  </w:style>
  <w:style w:type="character" w:customStyle="1" w:styleId="berschrift2Zeichen">
    <w:name w:val="Überschrift 2 Zeichen"/>
    <w:basedOn w:val="Absatzstandardschriftart"/>
    <w:link w:val="berschrift2"/>
    <w:uiPriority w:val="9"/>
    <w:rsid w:val="001F262C"/>
    <w:rPr>
      <w:rFonts w:asciiTheme="majorHAnsi" w:eastAsiaTheme="majorEastAsia" w:hAnsiTheme="majorHAnsi" w:cstheme="majorBidi"/>
      <w:b/>
      <w:bCs/>
      <w:color w:val="4F81BD" w:themeColor="accent1"/>
      <w:sz w:val="26"/>
      <w:szCs w:val="26"/>
    </w:rPr>
  </w:style>
  <w:style w:type="character" w:customStyle="1" w:styleId="berschrift3Zeichen">
    <w:name w:val="Überschrift 3 Zeichen"/>
    <w:basedOn w:val="Absatzstandardschriftart"/>
    <w:link w:val="berschrift3"/>
    <w:uiPriority w:val="9"/>
    <w:rsid w:val="00B530B1"/>
    <w:rPr>
      <w:rFonts w:asciiTheme="majorHAnsi" w:eastAsiaTheme="majorEastAsia" w:hAnsiTheme="majorHAnsi" w:cstheme="majorBidi"/>
      <w:b/>
      <w:bCs/>
      <w:color w:val="4F81BD" w:themeColor="accent1"/>
    </w:rPr>
  </w:style>
  <w:style w:type="paragraph" w:styleId="Kopfzeile">
    <w:name w:val="header"/>
    <w:basedOn w:val="Standard"/>
    <w:link w:val="KopfzeileZeichen"/>
    <w:uiPriority w:val="99"/>
    <w:unhideWhenUsed/>
    <w:rsid w:val="00B530B1"/>
    <w:pPr>
      <w:tabs>
        <w:tab w:val="center" w:pos="4536"/>
        <w:tab w:val="right" w:pos="9072"/>
      </w:tabs>
    </w:pPr>
  </w:style>
  <w:style w:type="character" w:customStyle="1" w:styleId="KopfzeileZeichen">
    <w:name w:val="Kopfzeile Zeichen"/>
    <w:basedOn w:val="Absatzstandardschriftart"/>
    <w:link w:val="Kopfzeile"/>
    <w:uiPriority w:val="99"/>
    <w:rsid w:val="00B530B1"/>
  </w:style>
  <w:style w:type="paragraph" w:customStyle="1" w:styleId="FN">
    <w:name w:val="FN"/>
    <w:basedOn w:val="Funotentext"/>
    <w:qFormat/>
    <w:rsid w:val="00F21E2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064407">
      <w:bodyDiv w:val="1"/>
      <w:marLeft w:val="0"/>
      <w:marRight w:val="0"/>
      <w:marTop w:val="0"/>
      <w:marBottom w:val="0"/>
      <w:divBdr>
        <w:top w:val="none" w:sz="0" w:space="0" w:color="auto"/>
        <w:left w:val="none" w:sz="0" w:space="0" w:color="auto"/>
        <w:bottom w:val="none" w:sz="0" w:space="0" w:color="auto"/>
        <w:right w:val="none" w:sz="0" w:space="0" w:color="auto"/>
      </w:divBdr>
    </w:div>
    <w:div w:id="470487972">
      <w:bodyDiv w:val="1"/>
      <w:marLeft w:val="0"/>
      <w:marRight w:val="0"/>
      <w:marTop w:val="0"/>
      <w:marBottom w:val="0"/>
      <w:divBdr>
        <w:top w:val="none" w:sz="0" w:space="0" w:color="auto"/>
        <w:left w:val="none" w:sz="0" w:space="0" w:color="auto"/>
        <w:bottom w:val="none" w:sz="0" w:space="0" w:color="auto"/>
        <w:right w:val="none" w:sz="0" w:space="0" w:color="auto"/>
      </w:divBdr>
    </w:div>
    <w:div w:id="648635442">
      <w:bodyDiv w:val="1"/>
      <w:marLeft w:val="0"/>
      <w:marRight w:val="0"/>
      <w:marTop w:val="0"/>
      <w:marBottom w:val="0"/>
      <w:divBdr>
        <w:top w:val="none" w:sz="0" w:space="0" w:color="auto"/>
        <w:left w:val="none" w:sz="0" w:space="0" w:color="auto"/>
        <w:bottom w:val="none" w:sz="0" w:space="0" w:color="auto"/>
        <w:right w:val="none" w:sz="0" w:space="0" w:color="auto"/>
      </w:divBdr>
    </w:div>
    <w:div w:id="708724220">
      <w:bodyDiv w:val="1"/>
      <w:marLeft w:val="0"/>
      <w:marRight w:val="0"/>
      <w:marTop w:val="0"/>
      <w:marBottom w:val="0"/>
      <w:divBdr>
        <w:top w:val="none" w:sz="0" w:space="0" w:color="auto"/>
        <w:left w:val="none" w:sz="0" w:space="0" w:color="auto"/>
        <w:bottom w:val="none" w:sz="0" w:space="0" w:color="auto"/>
        <w:right w:val="none" w:sz="0" w:space="0" w:color="auto"/>
      </w:divBdr>
    </w:div>
    <w:div w:id="733046063">
      <w:bodyDiv w:val="1"/>
      <w:marLeft w:val="0"/>
      <w:marRight w:val="0"/>
      <w:marTop w:val="0"/>
      <w:marBottom w:val="0"/>
      <w:divBdr>
        <w:top w:val="none" w:sz="0" w:space="0" w:color="auto"/>
        <w:left w:val="none" w:sz="0" w:space="0" w:color="auto"/>
        <w:bottom w:val="none" w:sz="0" w:space="0" w:color="auto"/>
        <w:right w:val="none" w:sz="0" w:space="0" w:color="auto"/>
      </w:divBdr>
    </w:div>
    <w:div w:id="962420705">
      <w:bodyDiv w:val="1"/>
      <w:marLeft w:val="0"/>
      <w:marRight w:val="0"/>
      <w:marTop w:val="0"/>
      <w:marBottom w:val="0"/>
      <w:divBdr>
        <w:top w:val="none" w:sz="0" w:space="0" w:color="auto"/>
        <w:left w:val="none" w:sz="0" w:space="0" w:color="auto"/>
        <w:bottom w:val="none" w:sz="0" w:space="0" w:color="auto"/>
        <w:right w:val="none" w:sz="0" w:space="0" w:color="auto"/>
      </w:divBdr>
    </w:div>
    <w:div w:id="1012297373">
      <w:bodyDiv w:val="1"/>
      <w:marLeft w:val="0"/>
      <w:marRight w:val="0"/>
      <w:marTop w:val="0"/>
      <w:marBottom w:val="0"/>
      <w:divBdr>
        <w:top w:val="none" w:sz="0" w:space="0" w:color="auto"/>
        <w:left w:val="none" w:sz="0" w:space="0" w:color="auto"/>
        <w:bottom w:val="none" w:sz="0" w:space="0" w:color="auto"/>
        <w:right w:val="none" w:sz="0" w:space="0" w:color="auto"/>
      </w:divBdr>
      <w:divsChild>
        <w:div w:id="757680095">
          <w:marLeft w:val="0"/>
          <w:marRight w:val="0"/>
          <w:marTop w:val="0"/>
          <w:marBottom w:val="0"/>
          <w:divBdr>
            <w:top w:val="none" w:sz="0" w:space="0" w:color="auto"/>
            <w:left w:val="none" w:sz="0" w:space="0" w:color="auto"/>
            <w:bottom w:val="none" w:sz="0" w:space="0" w:color="auto"/>
            <w:right w:val="none" w:sz="0" w:space="0" w:color="auto"/>
          </w:divBdr>
        </w:div>
        <w:div w:id="1426606323">
          <w:marLeft w:val="0"/>
          <w:marRight w:val="0"/>
          <w:marTop w:val="0"/>
          <w:marBottom w:val="0"/>
          <w:divBdr>
            <w:top w:val="none" w:sz="0" w:space="0" w:color="auto"/>
            <w:left w:val="none" w:sz="0" w:space="0" w:color="auto"/>
            <w:bottom w:val="none" w:sz="0" w:space="0" w:color="auto"/>
            <w:right w:val="none" w:sz="0" w:space="0" w:color="auto"/>
          </w:divBdr>
        </w:div>
        <w:div w:id="491606510">
          <w:marLeft w:val="0"/>
          <w:marRight w:val="0"/>
          <w:marTop w:val="0"/>
          <w:marBottom w:val="0"/>
          <w:divBdr>
            <w:top w:val="none" w:sz="0" w:space="0" w:color="auto"/>
            <w:left w:val="none" w:sz="0" w:space="0" w:color="auto"/>
            <w:bottom w:val="none" w:sz="0" w:space="0" w:color="auto"/>
            <w:right w:val="none" w:sz="0" w:space="0" w:color="auto"/>
          </w:divBdr>
        </w:div>
      </w:divsChild>
    </w:div>
    <w:div w:id="1033460323">
      <w:bodyDiv w:val="1"/>
      <w:marLeft w:val="0"/>
      <w:marRight w:val="0"/>
      <w:marTop w:val="0"/>
      <w:marBottom w:val="0"/>
      <w:divBdr>
        <w:top w:val="none" w:sz="0" w:space="0" w:color="auto"/>
        <w:left w:val="none" w:sz="0" w:space="0" w:color="auto"/>
        <w:bottom w:val="none" w:sz="0" w:space="0" w:color="auto"/>
        <w:right w:val="none" w:sz="0" w:space="0" w:color="auto"/>
      </w:divBdr>
    </w:div>
    <w:div w:id="10474180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Court of Justice of the European Union (CJEU), has developed into the superior authority in the legal order within the European Union (EU). One of the main aspects that factored into accomplishing that mission, was the Courts instrumentally use of “meta-principles of political morality”, like e.g. the principles of rule of law and/or democracy. This paper claims that the fundamental rights doctrine of the CJEU is also used as such a meta-principle of political morality and highlights several reasons for its development.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0B6B22-BD97-7E42-9F47-123CB2F1C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7266</Words>
  <Characters>40184</Characters>
  <Application>Microsoft Macintosh Word</Application>
  <DocSecurity>0</DocSecurity>
  <Lines>1030</Lines>
  <Paragraphs>427</Paragraphs>
  <ScaleCrop>false</ScaleCrop>
  <Company>Universität Wien</Company>
  <LinksUpToDate>false</LinksUpToDate>
  <CharactersWithSpaces>47023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fundamental rights doctrine of the Court of Justice of the European Union</dc:title>
  <dc:subject/>
  <dc:creator>Christoph Gärner</dc:creator>
  <cp:keywords/>
  <dc:description/>
  <cp:lastModifiedBy>Christoph Gärner</cp:lastModifiedBy>
  <cp:revision>38</cp:revision>
  <dcterms:created xsi:type="dcterms:W3CDTF">2015-12-09T15:54:00Z</dcterms:created>
  <dcterms:modified xsi:type="dcterms:W3CDTF">2015-12-21T17:52:00Z</dcterms:modified>
</cp:coreProperties>
</file>